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475D4F75" w:rsidR="00656EE7" w:rsidRPr="00B53A40" w:rsidRDefault="00344713" w:rsidP="00C22B29">
      <w:pPr>
        <w:spacing w:after="0"/>
        <w:contextualSpacing/>
        <w:rPr>
          <w:rFonts w:ascii="Arial" w:hAnsi="Arial" w:cs="Arial"/>
          <w:b/>
          <w:sz w:val="24"/>
          <w:szCs w:val="24"/>
          <w:lang w:val="en-US" w:eastAsia="zh-CN"/>
        </w:rPr>
      </w:pPr>
      <w:r w:rsidRPr="00B53A40">
        <w:rPr>
          <w:rFonts w:ascii="Arial" w:hAnsi="Arial" w:cs="Arial"/>
          <w:b/>
          <w:sz w:val="24"/>
          <w:szCs w:val="24"/>
          <w:lang w:val="en-US" w:eastAsia="zh-CN"/>
        </w:rPr>
        <w:t>3GPP TSG-RAN</w:t>
      </w:r>
      <w:r w:rsidR="00C22B29" w:rsidRPr="00B53A40">
        <w:rPr>
          <w:rFonts w:ascii="Arial" w:hAnsi="Arial" w:cs="Arial"/>
          <w:b/>
          <w:sz w:val="24"/>
          <w:szCs w:val="24"/>
          <w:lang w:val="en-US" w:eastAsia="zh-CN"/>
        </w:rPr>
        <w:t xml:space="preserve"> WG4 </w:t>
      </w:r>
      <w:r w:rsidRPr="00B53A40">
        <w:rPr>
          <w:rFonts w:ascii="Arial" w:hAnsi="Arial" w:cs="Arial"/>
          <w:b/>
          <w:sz w:val="24"/>
          <w:szCs w:val="24"/>
          <w:lang w:val="en-US" w:eastAsia="zh-CN"/>
        </w:rPr>
        <w:t>Meeting #</w:t>
      </w:r>
      <w:r w:rsidR="00C22B29" w:rsidRPr="00B53A40">
        <w:rPr>
          <w:rFonts w:ascii="Arial" w:hAnsi="Arial" w:cs="Arial"/>
          <w:b/>
          <w:sz w:val="24"/>
          <w:szCs w:val="24"/>
          <w:lang w:val="en-US" w:eastAsia="zh-CN"/>
        </w:rPr>
        <w:t>97</w:t>
      </w:r>
      <w:r w:rsidRPr="00B53A40">
        <w:rPr>
          <w:rFonts w:ascii="Arial" w:hAnsi="Arial" w:cs="Arial"/>
          <w:b/>
          <w:sz w:val="24"/>
          <w:szCs w:val="24"/>
          <w:lang w:val="en-US" w:eastAsia="zh-CN"/>
        </w:rPr>
        <w:t xml:space="preserve">e </w:t>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t xml:space="preserve">   </w:t>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Pr="00B53A40">
        <w:rPr>
          <w:rFonts w:ascii="Arial" w:hAnsi="Arial" w:cs="Arial"/>
          <w:b/>
          <w:sz w:val="24"/>
          <w:szCs w:val="24"/>
          <w:lang w:val="en-US" w:eastAsia="zh-CN"/>
        </w:rPr>
        <w:t>R</w:t>
      </w:r>
      <w:r w:rsidR="00C22B29" w:rsidRPr="00B53A40">
        <w:rPr>
          <w:rFonts w:ascii="Arial" w:hAnsi="Arial" w:cs="Arial"/>
          <w:b/>
          <w:sz w:val="24"/>
          <w:szCs w:val="24"/>
          <w:lang w:val="en-US" w:eastAsia="zh-CN"/>
        </w:rPr>
        <w:t>4</w:t>
      </w:r>
      <w:r w:rsidRPr="00B53A40">
        <w:rPr>
          <w:rFonts w:ascii="Arial" w:hAnsi="Arial" w:cs="Arial"/>
          <w:b/>
          <w:sz w:val="24"/>
          <w:szCs w:val="24"/>
          <w:lang w:val="en-US" w:eastAsia="zh-CN"/>
        </w:rPr>
        <w:t>-20</w:t>
      </w:r>
      <w:r w:rsidR="00A25961">
        <w:rPr>
          <w:rFonts w:ascii="Arial" w:hAnsi="Arial" w:cs="Arial"/>
          <w:b/>
          <w:sz w:val="24"/>
          <w:szCs w:val="24"/>
          <w:lang w:val="en-US" w:eastAsia="zh-CN"/>
        </w:rPr>
        <w:t>15444</w:t>
      </w:r>
      <w:r w:rsidR="00C22B29" w:rsidRPr="00B53A40">
        <w:rPr>
          <w:rFonts w:ascii="Arial" w:hAnsi="Arial" w:cs="Arial"/>
          <w:b/>
          <w:sz w:val="24"/>
          <w:szCs w:val="24"/>
          <w:lang w:val="en-US" w:eastAsia="zh-CN"/>
        </w:rPr>
        <w:t xml:space="preserve"> </w:t>
      </w:r>
      <w:r w:rsidRPr="00B53A40">
        <w:rPr>
          <w:rFonts w:ascii="Arial" w:hAnsi="Arial" w:cs="Arial"/>
          <w:b/>
          <w:sz w:val="24"/>
          <w:szCs w:val="24"/>
          <w:lang w:val="en-US" w:eastAsia="zh-CN"/>
        </w:rPr>
        <w:t xml:space="preserve">Electronic Meeting, </w:t>
      </w:r>
      <w:r w:rsidR="00985912" w:rsidRPr="00B53A40">
        <w:rPr>
          <w:rFonts w:ascii="Arial" w:hAnsi="Arial" w:cs="Arial"/>
          <w:b/>
          <w:sz w:val="24"/>
          <w:szCs w:val="24"/>
          <w:lang w:val="en-US" w:eastAsia="zh-CN"/>
        </w:rPr>
        <w:t>November</w:t>
      </w:r>
      <w:r w:rsidRPr="00B53A40">
        <w:rPr>
          <w:rFonts w:ascii="Arial" w:hAnsi="Arial" w:cs="Arial"/>
          <w:b/>
          <w:sz w:val="24"/>
          <w:szCs w:val="24"/>
          <w:lang w:val="en-US" w:eastAsia="zh-CN"/>
        </w:rPr>
        <w:t xml:space="preserve"> </w:t>
      </w:r>
      <w:r w:rsidR="00985912" w:rsidRPr="00B53A40">
        <w:rPr>
          <w:rFonts w:ascii="Arial" w:hAnsi="Arial" w:cs="Arial"/>
          <w:b/>
          <w:sz w:val="24"/>
          <w:szCs w:val="24"/>
          <w:lang w:val="en-US" w:eastAsia="zh-CN"/>
        </w:rPr>
        <w:t xml:space="preserve">2 </w:t>
      </w:r>
      <w:r w:rsidRPr="00B53A40">
        <w:rPr>
          <w:rFonts w:ascii="Arial" w:hAnsi="Arial" w:cs="Arial"/>
          <w:b/>
          <w:sz w:val="24"/>
          <w:szCs w:val="24"/>
          <w:lang w:val="en-US" w:eastAsia="zh-CN"/>
        </w:rPr>
        <w:t>-</w:t>
      </w:r>
      <w:r w:rsidR="00985912" w:rsidRPr="00B53A40">
        <w:rPr>
          <w:rFonts w:ascii="Arial" w:hAnsi="Arial" w:cs="Arial"/>
          <w:b/>
          <w:sz w:val="24"/>
          <w:szCs w:val="24"/>
          <w:lang w:val="en-US" w:eastAsia="zh-CN"/>
        </w:rPr>
        <w:t xml:space="preserve"> </w:t>
      </w:r>
      <w:r w:rsidRPr="00B53A40">
        <w:rPr>
          <w:rFonts w:ascii="Arial" w:hAnsi="Arial" w:cs="Arial"/>
          <w:b/>
          <w:sz w:val="24"/>
          <w:szCs w:val="24"/>
          <w:lang w:val="en-US" w:eastAsia="zh-CN"/>
        </w:rPr>
        <w:t>1</w:t>
      </w:r>
      <w:r w:rsidR="00985912" w:rsidRPr="00B53A40">
        <w:rPr>
          <w:rFonts w:ascii="Arial" w:hAnsi="Arial" w:cs="Arial"/>
          <w:b/>
          <w:sz w:val="24"/>
          <w:szCs w:val="24"/>
          <w:lang w:val="en-US" w:eastAsia="zh-CN"/>
        </w:rPr>
        <w:t>3</w:t>
      </w:r>
      <w:r w:rsidRPr="00B53A40">
        <w:rPr>
          <w:rFonts w:ascii="Arial" w:hAnsi="Arial" w:cs="Arial"/>
          <w:b/>
          <w:sz w:val="24"/>
          <w:szCs w:val="24"/>
          <w:lang w:val="en-US" w:eastAsia="zh-CN"/>
        </w:rPr>
        <w:t>, 2020</w:t>
      </w:r>
    </w:p>
    <w:p w14:paraId="798321A4" w14:textId="77777777" w:rsidR="00656EE7" w:rsidRPr="00B53A40" w:rsidRDefault="00656EE7">
      <w:pPr>
        <w:spacing w:after="120"/>
        <w:ind w:left="1985" w:hanging="1985"/>
        <w:rPr>
          <w:rFonts w:ascii="Arial" w:eastAsia="MS Mincho" w:hAnsi="Arial" w:cs="Arial"/>
          <w:b/>
          <w:sz w:val="22"/>
          <w:lang w:val="en-US"/>
        </w:rPr>
      </w:pPr>
    </w:p>
    <w:p w14:paraId="36AE7F06" w14:textId="016E766C" w:rsidR="00656EE7" w:rsidRPr="00B53A40"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B53A40">
        <w:rPr>
          <w:rFonts w:ascii="Arial" w:eastAsia="MS Mincho" w:hAnsi="Arial" w:cs="Arial"/>
          <w:b/>
          <w:color w:val="000000"/>
          <w:sz w:val="22"/>
          <w:lang w:val="en-US"/>
        </w:rPr>
        <w:t>Agenda item:</w:t>
      </w:r>
      <w:r w:rsidRPr="00B53A40">
        <w:rPr>
          <w:rFonts w:ascii="Arial" w:eastAsia="MS Mincho" w:hAnsi="Arial" w:cs="Arial"/>
          <w:b/>
          <w:color w:val="000000"/>
          <w:sz w:val="22"/>
          <w:lang w:val="en-US"/>
        </w:rPr>
        <w:tab/>
      </w:r>
      <w:r w:rsidRPr="00B53A40">
        <w:rPr>
          <w:rFonts w:ascii="Arial" w:eastAsia="MS Mincho" w:hAnsi="Arial" w:cs="Arial"/>
          <w:b/>
          <w:color w:val="000000"/>
          <w:sz w:val="22"/>
          <w:lang w:val="en-US" w:eastAsia="ja-JP"/>
        </w:rPr>
        <w:tab/>
      </w:r>
      <w:r w:rsidRPr="00B53A40">
        <w:rPr>
          <w:rFonts w:ascii="Arial" w:eastAsia="MS Mincho" w:hAnsi="Arial" w:cs="Arial"/>
          <w:b/>
          <w:color w:val="000000"/>
          <w:sz w:val="22"/>
          <w:lang w:val="en-US" w:eastAsia="ja-JP"/>
        </w:rPr>
        <w:tab/>
      </w:r>
      <w:r w:rsidR="00A25961">
        <w:rPr>
          <w:rFonts w:ascii="Arial" w:eastAsia="MS Mincho" w:hAnsi="Arial" w:cs="Arial"/>
          <w:bCs/>
          <w:color w:val="000000"/>
          <w:sz w:val="22"/>
          <w:lang w:val="en-US" w:eastAsia="ja-JP"/>
        </w:rPr>
        <w:t>13.2.3</w:t>
      </w:r>
    </w:p>
    <w:p w14:paraId="5F4BD920" w14:textId="669A6165" w:rsidR="00656EE7" w:rsidRPr="00B53A40" w:rsidRDefault="00344713">
      <w:pPr>
        <w:spacing w:after="120"/>
        <w:ind w:left="1985" w:hanging="1985"/>
        <w:rPr>
          <w:rFonts w:ascii="Arial" w:hAnsi="Arial" w:cs="Arial"/>
          <w:color w:val="000000"/>
          <w:sz w:val="22"/>
          <w:lang w:val="en-US" w:eastAsia="zh-CN"/>
        </w:rPr>
      </w:pPr>
      <w:r w:rsidRPr="00B53A40">
        <w:rPr>
          <w:rFonts w:ascii="Arial" w:eastAsia="MS Mincho" w:hAnsi="Arial" w:cs="Arial"/>
          <w:b/>
          <w:sz w:val="22"/>
          <w:lang w:val="en-US"/>
        </w:rPr>
        <w:t>Source:</w:t>
      </w:r>
      <w:r w:rsidRPr="00B53A40">
        <w:rPr>
          <w:rFonts w:ascii="Arial" w:eastAsia="MS Mincho" w:hAnsi="Arial" w:cs="Arial"/>
          <w:b/>
          <w:sz w:val="22"/>
          <w:lang w:val="en-US"/>
        </w:rPr>
        <w:tab/>
      </w:r>
      <w:r w:rsidR="00C22B29" w:rsidRPr="00B53A40">
        <w:rPr>
          <w:rFonts w:ascii="Arial" w:hAnsi="Arial" w:cs="Arial"/>
          <w:color w:val="000000"/>
          <w:sz w:val="22"/>
          <w:lang w:val="en-US" w:eastAsia="zh-CN"/>
        </w:rPr>
        <w:t>Nokia, Nokia Shanghai Bell</w:t>
      </w:r>
    </w:p>
    <w:p w14:paraId="7BD5998E" w14:textId="6070E901" w:rsidR="00656EE7" w:rsidRPr="00B53A40" w:rsidRDefault="00344713">
      <w:pPr>
        <w:spacing w:after="120"/>
        <w:ind w:left="1985" w:hanging="1985"/>
        <w:rPr>
          <w:rFonts w:ascii="Arial" w:hAnsi="Arial" w:cs="Arial"/>
          <w:color w:val="000000"/>
          <w:sz w:val="22"/>
          <w:lang w:val="en-US" w:eastAsia="zh-CN"/>
        </w:rPr>
      </w:pPr>
      <w:r w:rsidRPr="00B53A40">
        <w:rPr>
          <w:rFonts w:ascii="Arial" w:eastAsia="MS Mincho" w:hAnsi="Arial" w:cs="Arial"/>
          <w:b/>
          <w:color w:val="000000"/>
          <w:sz w:val="22"/>
          <w:lang w:val="en-US"/>
        </w:rPr>
        <w:t>Title:</w:t>
      </w:r>
      <w:r w:rsidRPr="00B53A40">
        <w:rPr>
          <w:rFonts w:ascii="Arial" w:eastAsia="MS Mincho" w:hAnsi="Arial" w:cs="Arial"/>
          <w:b/>
          <w:color w:val="000000"/>
          <w:sz w:val="22"/>
          <w:lang w:val="en-US"/>
        </w:rPr>
        <w:tab/>
      </w:r>
      <w:r w:rsidR="003B2064">
        <w:rPr>
          <w:rFonts w:ascii="Arial" w:hAnsi="Arial" w:cs="Arial"/>
          <w:color w:val="000000"/>
          <w:sz w:val="22"/>
          <w:lang w:val="en-US" w:eastAsia="zh-CN"/>
        </w:rPr>
        <w:t>UE</w:t>
      </w:r>
      <w:r w:rsidR="001C0E88">
        <w:rPr>
          <w:rFonts w:ascii="Arial" w:hAnsi="Arial" w:cs="Arial"/>
          <w:color w:val="000000"/>
          <w:sz w:val="22"/>
          <w:lang w:val="en-US" w:eastAsia="zh-CN"/>
        </w:rPr>
        <w:t xml:space="preserve"> RF</w:t>
      </w:r>
      <w:r w:rsidR="00504688" w:rsidRPr="00B53A40">
        <w:rPr>
          <w:rFonts w:ascii="Arial" w:hAnsi="Arial" w:cs="Arial"/>
          <w:color w:val="000000"/>
          <w:sz w:val="22"/>
          <w:lang w:val="en-US" w:eastAsia="zh-CN"/>
        </w:rPr>
        <w:t xml:space="preserve"> for NR beyond 52.6 GHz</w:t>
      </w:r>
    </w:p>
    <w:p w14:paraId="4C70E33B" w14:textId="433E9F04" w:rsidR="00656EE7" w:rsidRPr="00B53A40" w:rsidRDefault="00344713">
      <w:pPr>
        <w:spacing w:after="120"/>
        <w:ind w:left="1985" w:hanging="1985"/>
        <w:rPr>
          <w:rFonts w:ascii="Arial" w:hAnsi="Arial" w:cs="Arial"/>
          <w:sz w:val="22"/>
          <w:lang w:val="en-US" w:eastAsia="zh-CN"/>
        </w:rPr>
      </w:pPr>
      <w:r w:rsidRPr="00B53A40">
        <w:rPr>
          <w:rFonts w:ascii="Arial" w:eastAsia="MS Mincho" w:hAnsi="Arial" w:cs="Arial"/>
          <w:b/>
          <w:color w:val="000000"/>
          <w:sz w:val="22"/>
          <w:lang w:val="en-US"/>
        </w:rPr>
        <w:t>Document for:</w:t>
      </w:r>
      <w:r w:rsidRPr="00B53A40">
        <w:rPr>
          <w:rFonts w:ascii="Arial" w:eastAsia="MS Mincho" w:hAnsi="Arial" w:cs="Arial"/>
          <w:b/>
          <w:color w:val="000000"/>
          <w:sz w:val="22"/>
          <w:lang w:val="en-US"/>
        </w:rPr>
        <w:tab/>
      </w:r>
      <w:r w:rsidR="00C22B29" w:rsidRPr="00B53A40">
        <w:rPr>
          <w:rFonts w:ascii="Arial" w:hAnsi="Arial" w:cs="Arial"/>
          <w:color w:val="000000"/>
          <w:sz w:val="22"/>
          <w:lang w:val="en-US" w:eastAsia="zh-CN"/>
        </w:rPr>
        <w:t>Approval</w:t>
      </w:r>
    </w:p>
    <w:p w14:paraId="21CA3802" w14:textId="77777777" w:rsidR="00656EE7" w:rsidRPr="00B53A40" w:rsidRDefault="00344713" w:rsidP="00065A7B">
      <w:pPr>
        <w:pStyle w:val="Heading1"/>
        <w:rPr>
          <w:lang w:val="en-US" w:eastAsia="zh-CN"/>
        </w:rPr>
      </w:pPr>
      <w:r w:rsidRPr="00B53A40">
        <w:rPr>
          <w:lang w:val="en-US" w:eastAsia="ja-JP"/>
        </w:rPr>
        <w:t>Introduction</w:t>
      </w:r>
    </w:p>
    <w:p w14:paraId="29CC0571" w14:textId="130147CB" w:rsidR="00E74969" w:rsidRDefault="00E74969" w:rsidP="00E74969">
      <w:pPr>
        <w:rPr>
          <w:lang w:val="en-US"/>
        </w:rPr>
      </w:pPr>
      <w:r w:rsidRPr="00B53A40">
        <w:rPr>
          <w:lang w:val="en-US"/>
        </w:rPr>
        <w:t xml:space="preserve">The study item on supporting NR from 52.6 GHz to 71 GHz </w:t>
      </w:r>
      <w:r w:rsidRPr="00B53A40">
        <w:rPr>
          <w:lang w:val="en-US"/>
        </w:rPr>
        <w:fldChar w:fldCharType="begin"/>
      </w:r>
      <w:r w:rsidRPr="00B53A40">
        <w:rPr>
          <w:lang w:val="en-US"/>
        </w:rPr>
        <w:instrText xml:space="preserve"> REF _Ref31097917 \n \h  \* MERGEFORMAT </w:instrText>
      </w:r>
      <w:r w:rsidRPr="00B53A40">
        <w:rPr>
          <w:lang w:val="en-US"/>
        </w:rPr>
      </w:r>
      <w:r w:rsidRPr="00B53A40">
        <w:rPr>
          <w:lang w:val="en-US"/>
        </w:rPr>
        <w:fldChar w:fldCharType="separate"/>
      </w:r>
      <w:r w:rsidR="00A0307E">
        <w:rPr>
          <w:lang w:val="en-US"/>
        </w:rPr>
        <w:t>[1]</w:t>
      </w:r>
      <w:r w:rsidRPr="00B53A40">
        <w:rPr>
          <w:lang w:val="en-US"/>
        </w:rPr>
        <w:fldChar w:fldCharType="end"/>
      </w:r>
      <w:r w:rsidRPr="00B53A40">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B53A40">
        <w:rPr>
          <w:lang w:val="en-US"/>
        </w:rPr>
        <w:fldChar w:fldCharType="begin"/>
      </w:r>
      <w:r w:rsidRPr="00B53A40">
        <w:rPr>
          <w:lang w:val="en-US"/>
        </w:rPr>
        <w:instrText xml:space="preserve"> REF _Ref31097951 \n \h  \* MERGEFORMAT </w:instrText>
      </w:r>
      <w:r w:rsidRPr="00B53A40">
        <w:rPr>
          <w:lang w:val="en-US"/>
        </w:rPr>
      </w:r>
      <w:r w:rsidRPr="00B53A40">
        <w:rPr>
          <w:lang w:val="en-US"/>
        </w:rPr>
        <w:fldChar w:fldCharType="separate"/>
      </w:r>
      <w:r w:rsidR="00A0307E">
        <w:rPr>
          <w:lang w:val="en-US"/>
        </w:rPr>
        <w:t>[2]</w:t>
      </w:r>
      <w:r w:rsidRPr="00B53A40">
        <w:rPr>
          <w:lang w:val="en-US"/>
        </w:rPr>
        <w:fldChar w:fldCharType="end"/>
      </w:r>
      <w:r w:rsidRPr="00B53A40">
        <w:rPr>
          <w:lang w:val="en-US"/>
        </w:rPr>
        <w:t xml:space="preserve">. </w:t>
      </w:r>
    </w:p>
    <w:p w14:paraId="332C03C6" w14:textId="5E7775FB" w:rsidR="003B2064" w:rsidRPr="00B53A40" w:rsidRDefault="003B2064" w:rsidP="00E74969">
      <w:pPr>
        <w:rPr>
          <w:lang w:val="en-US"/>
        </w:rPr>
      </w:pPr>
      <w:r>
        <w:rPr>
          <w:lang w:val="en-US"/>
        </w:rPr>
        <w:t>In this contribution UE RF related aspects are discussed.</w:t>
      </w:r>
    </w:p>
    <w:p w14:paraId="27A7A54E" w14:textId="74417229" w:rsidR="007B1131" w:rsidRPr="00B53A40" w:rsidRDefault="00F84D8E" w:rsidP="00F84D8E">
      <w:pPr>
        <w:pStyle w:val="Heading1"/>
        <w:rPr>
          <w:lang w:val="en-US" w:eastAsia="zh-CN"/>
        </w:rPr>
      </w:pPr>
      <w:r w:rsidRPr="00B53A40">
        <w:rPr>
          <w:lang w:val="en-US" w:eastAsia="zh-CN"/>
        </w:rPr>
        <w:t>Discussion</w:t>
      </w:r>
    </w:p>
    <w:p w14:paraId="2A56C66C" w14:textId="27C09D9D" w:rsidR="006B79DA" w:rsidRPr="007110AC" w:rsidRDefault="001C0E88" w:rsidP="006B79DA">
      <w:pPr>
        <w:pStyle w:val="Heading2"/>
        <w:overflowPunct w:val="0"/>
        <w:autoSpaceDE w:val="0"/>
        <w:autoSpaceDN w:val="0"/>
        <w:adjustRightInd w:val="0"/>
        <w:textAlignment w:val="baseline"/>
        <w:rPr>
          <w:sz w:val="24"/>
        </w:rPr>
      </w:pPr>
      <w:r>
        <w:rPr>
          <w:sz w:val="24"/>
          <w:lang w:val="en-US"/>
        </w:rPr>
        <w:t>Achievable power</w:t>
      </w:r>
    </w:p>
    <w:p w14:paraId="603DC980" w14:textId="122C5F30" w:rsidR="003B2064" w:rsidRPr="003E1FB9" w:rsidRDefault="003B2064" w:rsidP="003B2064">
      <w:r>
        <w:t>Practically achievable maximum transmit power for NR on 52.6-71 GHz depends on the number of practical implementation imperfections while also ensuring that number of different requirements like  spectrum emission mask (SEM), occupied bandwidth (OBW), modulation quality measured in terms of EVM (Error Vector Magnitude) and in-band emissions (IBE) are met. We have done MPR (Maximum Power Reduction) simulations for a Power class 3 UE (max. 23 dBm transmission power) using practical PA model to analyse how much the maximum UE Tx power may need to be reduced for meeting these requirements and which of the requirement is the limiting factor for the achievable UE Tx power.</w:t>
      </w:r>
    </w:p>
    <w:p w14:paraId="3D6816B5" w14:textId="1ECD3948" w:rsidR="003B2064" w:rsidRPr="003E1FB9" w:rsidRDefault="003B2064" w:rsidP="003B2064">
      <w:r>
        <w:t>The PA model is calibrated using FR2 assumptions (BW = 100 MHz, SCS = 120 kHz, DFT-S-OFDM QPSK, 20RB23, MPR = 0 dB) described in [3]. Regarding TX impairments both image suppression and carrier suppression are assumed to be –25 dB together with –60 dB CIM3. No phase noise is applied in UE Tx power simulations</w:t>
      </w:r>
      <w:r w:rsidR="23E8781C">
        <w:t>, i.e. EVM and IBE are met without consideration of phase noise</w:t>
      </w:r>
      <w:r>
        <w:t>.</w:t>
      </w:r>
    </w:p>
    <w:p w14:paraId="5D3BE41C" w14:textId="77777777" w:rsidR="003B2064" w:rsidRPr="003E1FB9" w:rsidRDefault="003B2064" w:rsidP="003B2064">
      <w:r>
        <w:t xml:space="preserve">As NR on 52.6 – 71 GHz may operate either on unlicensed and licensed bands, the simulations are conducted for both using the unlicensed and licensed band spectrum emission masks. For the unlicensed band </w:t>
      </w:r>
      <w:proofErr w:type="gramStart"/>
      <w:r>
        <w:t>simulations</w:t>
      </w:r>
      <w:proofErr w:type="gramEnd"/>
      <w:r>
        <w:t xml:space="preserve"> the out of band emission mask requirements in [5] are used. For the licensed band </w:t>
      </w:r>
      <w:proofErr w:type="gramStart"/>
      <w:r>
        <w:t>simulations</w:t>
      </w:r>
      <w:proofErr w:type="gramEnd"/>
      <w:r>
        <w:t xml:space="preserve"> we have utilized the FR2 SEM and ACLR requirements in TS38.101-2. In all the simulations the FR2 UE in-band emission, OBW and EVM requirements in TS38.101-2 are used. Also, we have used similar </w:t>
      </w:r>
      <w:r w:rsidRPr="58B0F71D">
        <w:rPr>
          <w:lang w:eastAsia="zh-CN"/>
        </w:rPr>
        <w:t xml:space="preserve">IQ-Image and LO leakage </w:t>
      </w:r>
      <w:r>
        <w:t xml:space="preserve">impairments as currently allowed for FR2 UEs in TS38.101-2. </w:t>
      </w:r>
    </w:p>
    <w:p w14:paraId="5DAAF584" w14:textId="74321D88" w:rsidR="003B2064" w:rsidRPr="003E1FB9" w:rsidRDefault="003B2064" w:rsidP="003B2064">
      <w:r w:rsidRPr="003E1FB9">
        <w:t xml:space="preserve">In Figure </w:t>
      </w:r>
      <w:r>
        <w:t>1</w:t>
      </w:r>
      <w:r w:rsidRPr="003E1FB9">
        <w:t xml:space="preserve">, spectrum emission masks for the unlicensed and licensed band (based on FR2) are compared. With red solid line, spectrum emission mask for licensed operation is shown. In addition, the black lines illustrate the spectrum emission masks for unlicensed operation, according to [5], in two different scenarios. The solid lines (blue for the TX output spectrum and black for the mask) show one RB edge scenario and the dashed lines (again blue for the TX output spectrum and black for the mask) show the full allocation scenario in the channel. Based on this comparison, </w:t>
      </w:r>
      <w:proofErr w:type="gramStart"/>
      <w:r w:rsidRPr="003E1FB9">
        <w:t xml:space="preserve">it can be </w:t>
      </w:r>
      <w:r w:rsidRPr="003E1FB9">
        <w:lastRenderedPageBreak/>
        <w:t>seen that the</w:t>
      </w:r>
      <w:proofErr w:type="gramEnd"/>
      <w:r w:rsidRPr="003E1FB9">
        <w:t xml:space="preserve"> unlicensed spectrum can be either more or less limiting than the licensed operation spectrum emission mask, depending on the power spectral density of the transmitted allocation.</w:t>
      </w:r>
    </w:p>
    <w:p w14:paraId="02999FA6" w14:textId="77777777" w:rsidR="003B2064" w:rsidRPr="003E1FB9" w:rsidRDefault="003B2064" w:rsidP="003B2064">
      <w:pPr>
        <w:jc w:val="center"/>
      </w:pPr>
      <w:r w:rsidRPr="003E1FB9">
        <w:rPr>
          <w:noProof/>
        </w:rPr>
        <w:drawing>
          <wp:inline distT="0" distB="0" distL="0" distR="0" wp14:anchorId="1FFF2471" wp14:editId="1A25D82C">
            <wp:extent cx="3883871" cy="2374366"/>
            <wp:effectExtent l="0" t="0" r="2540" b="6985"/>
            <wp:docPr id="9061764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t="2851" b="3054"/>
                    <a:stretch>
                      <a:fillRect/>
                    </a:stretch>
                  </pic:blipFill>
                  <pic:spPr>
                    <a:xfrm>
                      <a:off x="0" y="0"/>
                      <a:ext cx="3883871" cy="2374366"/>
                    </a:xfrm>
                    <a:prstGeom prst="rect">
                      <a:avLst/>
                    </a:prstGeom>
                  </pic:spPr>
                </pic:pic>
              </a:graphicData>
            </a:graphic>
          </wp:inline>
        </w:drawing>
      </w:r>
    </w:p>
    <w:p w14:paraId="5A8E5CD9" w14:textId="19A914EA" w:rsidR="003B2064" w:rsidRPr="003E1FB9" w:rsidRDefault="003B2064" w:rsidP="003B2064">
      <w:pPr>
        <w:pStyle w:val="Caption"/>
      </w:pPr>
      <w:bookmarkStart w:id="0" w:name="_Ref40103013"/>
      <w:r w:rsidRPr="003E1FB9">
        <w:t xml:space="preserve">Figure </w:t>
      </w:r>
      <w:bookmarkEnd w:id="0"/>
      <w:r>
        <w:t>1</w:t>
      </w:r>
      <w:r w:rsidRPr="003E1FB9">
        <w:t>. Comparison of spectrum emission requirements for the unlicensed band [4] and licensed band using FR2 assumptions.</w:t>
      </w:r>
    </w:p>
    <w:p w14:paraId="228CDDDB" w14:textId="02F4B33B" w:rsidR="003B2064" w:rsidRPr="003E1FB9" w:rsidRDefault="20B2EA5C" w:rsidP="003B2064">
      <w:r>
        <w:t xml:space="preserve">In the simulations we have analysed what is limiting factor for the achievable transmit power; SEM, EVM, IBE, OBW or spurious </w:t>
      </w:r>
      <w:r w:rsidR="0B96675E">
        <w:t>emissions i.e.</w:t>
      </w:r>
      <w:r>
        <w:t xml:space="preserve"> which one of the requirements defines how much MPR (Maximum Power Reduction) is needed. The actual needed MPR values are also evaluated for each simulation case. In our simulations the results for the unlicensed and licensed band are very similar both for the required MPR and what is the limiting (gating) factor for the MPR performances. Furthermore, little difference is seen between narrowband (400 MHz) and wideband (2160 MHz) scenarios. As an example, in Figure 2 of similar performance we have presented the MPR simulation results for the unlicensed and licensed band operations using the CP-OFDM and DFT-s-OFDM waveforms with 64QAM modulation and 400 MHz bandwidth and 120 kHz SCS. In Figure 7, similar results are shown for 2160 MHz bandwidth and 960 kHz SCS, considering licensed band operation. In the figures L</w:t>
      </w:r>
      <w:r w:rsidRPr="1D0AE509">
        <w:rPr>
          <w:vertAlign w:val="subscript"/>
        </w:rPr>
        <w:t>CRB</w:t>
      </w:r>
      <w:r>
        <w:t xml:space="preserve"> indicates the allocation width in the number of r</w:t>
      </w:r>
      <w:r w:rsidRPr="1D0AE509">
        <w:rPr>
          <w:rFonts w:eastAsia="Yu Mincho"/>
        </w:rPr>
        <w:t>esources blocks</w:t>
      </w:r>
      <w:r>
        <w:t xml:space="preserve"> and the </w:t>
      </w:r>
      <w:proofErr w:type="spellStart"/>
      <w:r>
        <w:t>RB</w:t>
      </w:r>
      <w:r w:rsidRPr="1D0AE509">
        <w:rPr>
          <w:vertAlign w:val="subscript"/>
        </w:rPr>
        <w:t>start</w:t>
      </w:r>
      <w:proofErr w:type="spellEnd"/>
      <w:r>
        <w:t xml:space="preserve"> indicates the lowest RB index of transmitted resource blocks.</w:t>
      </w:r>
    </w:p>
    <w:p w14:paraId="1127F00E" w14:textId="77777777" w:rsidR="003B2064" w:rsidRPr="003E1FB9" w:rsidRDefault="003B2064" w:rsidP="003B206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31"/>
      </w:tblGrid>
      <w:tr w:rsidR="003B2064" w:rsidRPr="003E1FB9" w14:paraId="32FCF6DD" w14:textId="77777777" w:rsidTr="27BA77A6">
        <w:tc>
          <w:tcPr>
            <w:tcW w:w="4814" w:type="dxa"/>
          </w:tcPr>
          <w:p w14:paraId="4431063A" w14:textId="77777777" w:rsidR="003B2064" w:rsidRPr="003E1FB9" w:rsidRDefault="003B2064" w:rsidP="006C44A6">
            <w:r>
              <w:rPr>
                <w:noProof/>
              </w:rPr>
              <w:drawing>
                <wp:inline distT="0" distB="0" distL="0" distR="0" wp14:anchorId="38E2D0A6" wp14:editId="55A7CA5E">
                  <wp:extent cx="2996190" cy="2246381"/>
                  <wp:effectExtent l="0" t="0" r="0" b="1905"/>
                  <wp:docPr id="523101287"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p>
          <w:p w14:paraId="27C8C14E" w14:textId="77777777" w:rsidR="003B2064" w:rsidRPr="003E1FB9" w:rsidRDefault="003B2064" w:rsidP="006C44A6">
            <w:pPr>
              <w:jc w:val="center"/>
            </w:pPr>
            <w:r w:rsidRPr="003E1FB9">
              <w:t>Licensed band (FR2 based)</w:t>
            </w:r>
          </w:p>
        </w:tc>
        <w:tc>
          <w:tcPr>
            <w:tcW w:w="4815" w:type="dxa"/>
          </w:tcPr>
          <w:p w14:paraId="5BAC85D5" w14:textId="77777777" w:rsidR="003B2064" w:rsidRPr="003E1FB9" w:rsidRDefault="003B2064" w:rsidP="006C44A6">
            <w:r>
              <w:rPr>
                <w:noProof/>
              </w:rPr>
              <w:drawing>
                <wp:inline distT="0" distB="0" distL="0" distR="0" wp14:anchorId="5DA0EF47" wp14:editId="4B35BAB9">
                  <wp:extent cx="3000375" cy="2247900"/>
                  <wp:effectExtent l="0" t="0" r="9525" b="0"/>
                  <wp:docPr id="1564610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p>
          <w:p w14:paraId="04971493" w14:textId="77777777" w:rsidR="003B2064" w:rsidRPr="003E1FB9" w:rsidRDefault="003B2064" w:rsidP="006C44A6">
            <w:pPr>
              <w:jc w:val="center"/>
            </w:pPr>
            <w:r w:rsidRPr="003E1FB9">
              <w:t>Licensed band (FR2 based)</w:t>
            </w:r>
          </w:p>
        </w:tc>
      </w:tr>
      <w:tr w:rsidR="003B2064" w:rsidRPr="003E1FB9" w14:paraId="77F13050" w14:textId="77777777" w:rsidTr="27BA77A6">
        <w:tc>
          <w:tcPr>
            <w:tcW w:w="4814" w:type="dxa"/>
          </w:tcPr>
          <w:p w14:paraId="2D973D40" w14:textId="77777777" w:rsidR="003B2064" w:rsidRPr="003E1FB9" w:rsidRDefault="003B2064" w:rsidP="006C44A6">
            <w:r>
              <w:rPr>
                <w:noProof/>
              </w:rPr>
              <w:lastRenderedPageBreak/>
              <w:drawing>
                <wp:inline distT="0" distB="0" distL="0" distR="0" wp14:anchorId="16714CDA" wp14:editId="205A53DC">
                  <wp:extent cx="2996190" cy="2246381"/>
                  <wp:effectExtent l="0" t="0" r="0" b="1905"/>
                  <wp:docPr id="1078284678"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p>
          <w:p w14:paraId="1E15863C" w14:textId="77777777" w:rsidR="003B2064" w:rsidRPr="003E1FB9" w:rsidRDefault="003B2064" w:rsidP="006C44A6">
            <w:pPr>
              <w:tabs>
                <w:tab w:val="left" w:pos="691"/>
              </w:tabs>
              <w:jc w:val="center"/>
            </w:pPr>
            <w:r w:rsidRPr="003E1FB9">
              <w:t>Unlicensed band</w:t>
            </w:r>
          </w:p>
        </w:tc>
        <w:tc>
          <w:tcPr>
            <w:tcW w:w="4815" w:type="dxa"/>
          </w:tcPr>
          <w:p w14:paraId="3ACB784D" w14:textId="77777777" w:rsidR="003B2064" w:rsidRPr="003E1FB9" w:rsidRDefault="003B2064" w:rsidP="006C44A6">
            <w:r>
              <w:rPr>
                <w:noProof/>
              </w:rPr>
              <w:drawing>
                <wp:inline distT="0" distB="0" distL="0" distR="0" wp14:anchorId="2EA68129" wp14:editId="7D9EDBFB">
                  <wp:extent cx="3000375" cy="2247900"/>
                  <wp:effectExtent l="0" t="0" r="9525" b="0"/>
                  <wp:docPr id="11473852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p>
          <w:p w14:paraId="2AD2E6E9" w14:textId="77777777" w:rsidR="003B2064" w:rsidRPr="003E1FB9" w:rsidRDefault="003B2064" w:rsidP="006C44A6">
            <w:pPr>
              <w:jc w:val="center"/>
            </w:pPr>
            <w:r w:rsidRPr="003E1FB9">
              <w:t>Unlicensed band</w:t>
            </w:r>
          </w:p>
        </w:tc>
      </w:tr>
    </w:tbl>
    <w:p w14:paraId="7AD76BB0" w14:textId="44198C3F" w:rsidR="003B2064" w:rsidRPr="003E1FB9" w:rsidRDefault="003B2064" w:rsidP="003B2064">
      <w:pPr>
        <w:pStyle w:val="Caption"/>
      </w:pPr>
      <w:bookmarkStart w:id="1" w:name="_Ref40104880"/>
      <w:r w:rsidRPr="003E1FB9">
        <w:t xml:space="preserve">Figure </w:t>
      </w:r>
      <w:r>
        <w:t>2</w:t>
      </w:r>
      <w:r w:rsidRPr="003E1FB9">
        <w:t>: MPR performance comparison for the unlicensed and licensed band for CP-OFDM and DFT-s-OFDM waveforms with 64QAM modulation and 400 MHz BW and 120 kHz SCS</w:t>
      </w:r>
      <w:bookmarkEnd w:id="1"/>
    </w:p>
    <w:p w14:paraId="354B3E3E" w14:textId="4D769561" w:rsidR="003B2064" w:rsidRPr="003E1FB9" w:rsidRDefault="003B2064" w:rsidP="003B2064">
      <w:r w:rsidRPr="003E1FB9">
        <w:t xml:space="preserve">Next, in Figures </w:t>
      </w:r>
      <w:r>
        <w:t>3</w:t>
      </w:r>
      <w:r w:rsidRPr="003E1FB9">
        <w:t xml:space="preserve"> and </w:t>
      </w:r>
      <w:r>
        <w:t>4</w:t>
      </w:r>
      <w:r w:rsidRPr="003E1FB9">
        <w:t xml:space="preserve">, we present examples for the simulation results evaluating which requirement is the limiting factor for QPSK, 16QAM and 64QAM using 400 MHz and 2160 MHz bandwidths and 120 kHz and 960 kHz subcarrier spacings, as in the MPR simulations above. </w:t>
      </w:r>
      <w:proofErr w:type="gramStart"/>
      <w:r w:rsidRPr="003E1FB9">
        <w:t>Also</w:t>
      </w:r>
      <w:proofErr w:type="gramEnd"/>
      <w:r w:rsidRPr="003E1FB9">
        <w:t xml:space="preserve"> other bandwidths and SCSs were simulated and similar tendencies for the limiting requirement were observed.  Both CP-OFDM and DFT-s-OFDM are evaluated using the licensed band SEM limits. From these results we can see that for CP-OFDM EVM is the limiting factor for MPR performance in most cases. For DFT-s-OFDM in-band emission and occupied bandwidth is limiting the maximum output power with lower order modulations like QPSK but with higher order modulations also for DFT-s-OFDM EVM is mostly limiting the achievable maximum transmit power. In some cases, also in-band emission limits are limiting the performance.</w:t>
      </w:r>
    </w:p>
    <w:p w14:paraId="229F9B61" w14:textId="77777777" w:rsidR="003B2064" w:rsidRPr="003E1FB9" w:rsidRDefault="003B2064" w:rsidP="003B2064">
      <w:pPr>
        <w:jc w:val="center"/>
      </w:pPr>
      <w:r>
        <w:rPr>
          <w:noProof/>
        </w:rPr>
        <w:drawing>
          <wp:inline distT="0" distB="0" distL="0" distR="0" wp14:anchorId="0E4E7D65" wp14:editId="2311E199">
            <wp:extent cx="3000375" cy="2247900"/>
            <wp:effectExtent l="0" t="0" r="0" b="0"/>
            <wp:docPr id="242114482" name="Picture 191530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301766"/>
                    <pic:cNvPicPr/>
                  </pic:nvPicPr>
                  <pic:blipFill>
                    <a:blip r:embed="rId19">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0A7D9C86" wp14:editId="6D58988A">
            <wp:extent cx="3000375" cy="2247900"/>
            <wp:effectExtent l="0" t="0" r="0" b="0"/>
            <wp:docPr id="898463537" name="Picture 173975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75049"/>
                    <pic:cNvPicPr/>
                  </pic:nvPicPr>
                  <pic:blipFill>
                    <a:blip r:embed="rId20">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br/>
        <w:t xml:space="preserve">Licensed band (FR2 </w:t>
      </w:r>
      <w:proofErr w:type="gramStart"/>
      <w:r>
        <w:t xml:space="preserve">based)   </w:t>
      </w:r>
      <w:proofErr w:type="gramEnd"/>
      <w:r>
        <w:t xml:space="preserve">                  Licensed band (FR2 based)</w:t>
      </w:r>
    </w:p>
    <w:p w14:paraId="60189D52" w14:textId="07B175E1" w:rsidR="003B2064" w:rsidRPr="003E1FB9" w:rsidRDefault="003B2064" w:rsidP="003B2064">
      <w:pPr>
        <w:pStyle w:val="Caption"/>
      </w:pPr>
      <w:r w:rsidRPr="003E1FB9">
        <w:t xml:space="preserve">Figure </w:t>
      </w:r>
      <w:r>
        <w:t>3</w:t>
      </w:r>
      <w:r w:rsidRPr="003E1FB9">
        <w:t>: MPR performance for the licensed band CP-OFDM and DFT-s-OFDM waveforms with 64QAM modulation and 2160 MHz BW and 960 kHz SCS</w:t>
      </w:r>
    </w:p>
    <w:p w14:paraId="2B583EC3" w14:textId="7AA2AA92" w:rsidR="003B2064" w:rsidRPr="003E1FB9" w:rsidRDefault="003B2064" w:rsidP="003B206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3B2064" w:rsidRPr="00491B89" w14:paraId="049AB3E5" w14:textId="77777777" w:rsidTr="27BA77A6">
        <w:tc>
          <w:tcPr>
            <w:tcW w:w="4819" w:type="dxa"/>
          </w:tcPr>
          <w:p w14:paraId="736C8EDC" w14:textId="77777777" w:rsidR="003B2064" w:rsidRPr="003E1FB9" w:rsidRDefault="003B2064" w:rsidP="006C44A6"/>
        </w:tc>
        <w:tc>
          <w:tcPr>
            <w:tcW w:w="4820" w:type="dxa"/>
          </w:tcPr>
          <w:p w14:paraId="26B18DD4" w14:textId="77777777" w:rsidR="003B2064" w:rsidRPr="003E1FB9" w:rsidRDefault="003B2064" w:rsidP="006C44A6"/>
        </w:tc>
      </w:tr>
      <w:tr w:rsidR="003B2064" w:rsidRPr="00491B89" w14:paraId="6441298C" w14:textId="77777777" w:rsidTr="27BA77A6">
        <w:tc>
          <w:tcPr>
            <w:tcW w:w="4819" w:type="dxa"/>
          </w:tcPr>
          <w:p w14:paraId="3DF3FC4F" w14:textId="77777777" w:rsidR="003B2064" w:rsidRPr="003E1FB9" w:rsidRDefault="003B2064" w:rsidP="006C44A6"/>
        </w:tc>
        <w:tc>
          <w:tcPr>
            <w:tcW w:w="4820" w:type="dxa"/>
          </w:tcPr>
          <w:p w14:paraId="54232B4E" w14:textId="77777777" w:rsidR="003B2064" w:rsidRPr="003E1FB9" w:rsidRDefault="003B2064" w:rsidP="006C44A6"/>
        </w:tc>
      </w:tr>
      <w:tr w:rsidR="003B2064" w:rsidRPr="003E1FB9" w14:paraId="5032C27E" w14:textId="77777777" w:rsidTr="27BA77A6">
        <w:tc>
          <w:tcPr>
            <w:tcW w:w="4819" w:type="dxa"/>
          </w:tcPr>
          <w:p w14:paraId="32E3D460" w14:textId="77777777" w:rsidR="003B2064" w:rsidRPr="003E1FB9" w:rsidRDefault="003B2064" w:rsidP="006C44A6">
            <w:r>
              <w:rPr>
                <w:noProof/>
              </w:rPr>
              <w:lastRenderedPageBreak/>
              <w:drawing>
                <wp:inline distT="0" distB="0" distL="0" distR="0" wp14:anchorId="322620CE" wp14:editId="49F8D1B6">
                  <wp:extent cx="2981325" cy="2228850"/>
                  <wp:effectExtent l="0" t="0" r="0" b="0"/>
                  <wp:docPr id="1472279705" name="Picture 929129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129756"/>
                          <pic:cNvPicPr/>
                        </pic:nvPicPr>
                        <pic:blipFill>
                          <a:blip r:embed="rId21">
                            <a:extLst>
                              <a:ext uri="{28A0092B-C50C-407E-A947-70E740481C1C}">
                                <a14:useLocalDpi xmlns:a14="http://schemas.microsoft.com/office/drawing/2010/main" val="0"/>
                              </a:ext>
                            </a:extLst>
                          </a:blip>
                          <a:stretch>
                            <a:fillRect/>
                          </a:stretch>
                        </pic:blipFill>
                        <pic:spPr>
                          <a:xfrm>
                            <a:off x="0" y="0"/>
                            <a:ext cx="2981325" cy="2228850"/>
                          </a:xfrm>
                          <a:prstGeom prst="rect">
                            <a:avLst/>
                          </a:prstGeom>
                        </pic:spPr>
                      </pic:pic>
                    </a:graphicData>
                  </a:graphic>
                </wp:inline>
              </w:drawing>
            </w:r>
          </w:p>
        </w:tc>
        <w:tc>
          <w:tcPr>
            <w:tcW w:w="4820" w:type="dxa"/>
          </w:tcPr>
          <w:p w14:paraId="69572BA8" w14:textId="77777777" w:rsidR="003B2064" w:rsidRPr="003E1FB9" w:rsidRDefault="003B2064" w:rsidP="006C44A6">
            <w:r>
              <w:rPr>
                <w:noProof/>
              </w:rPr>
              <w:drawing>
                <wp:inline distT="0" distB="0" distL="0" distR="0" wp14:anchorId="5C2FBECC" wp14:editId="05D46110">
                  <wp:extent cx="2981325" cy="2228850"/>
                  <wp:effectExtent l="0" t="0" r="0" b="0"/>
                  <wp:docPr id="853050548" name="Picture 1967769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769283"/>
                          <pic:cNvPicPr/>
                        </pic:nvPicPr>
                        <pic:blipFill>
                          <a:blip r:embed="rId22">
                            <a:extLst>
                              <a:ext uri="{28A0092B-C50C-407E-A947-70E740481C1C}">
                                <a14:useLocalDpi xmlns:a14="http://schemas.microsoft.com/office/drawing/2010/main" val="0"/>
                              </a:ext>
                            </a:extLst>
                          </a:blip>
                          <a:stretch>
                            <a:fillRect/>
                          </a:stretch>
                        </pic:blipFill>
                        <pic:spPr>
                          <a:xfrm>
                            <a:off x="0" y="0"/>
                            <a:ext cx="2981325" cy="2228850"/>
                          </a:xfrm>
                          <a:prstGeom prst="rect">
                            <a:avLst/>
                          </a:prstGeom>
                        </pic:spPr>
                      </pic:pic>
                    </a:graphicData>
                  </a:graphic>
                </wp:inline>
              </w:drawing>
            </w:r>
          </w:p>
        </w:tc>
      </w:tr>
    </w:tbl>
    <w:p w14:paraId="465C3C48" w14:textId="77777777" w:rsidR="003B2064" w:rsidRPr="003E1FB9" w:rsidRDefault="003B2064" w:rsidP="003B2064">
      <w:r>
        <w:rPr>
          <w:noProof/>
        </w:rPr>
        <w:drawing>
          <wp:inline distT="0" distB="0" distL="0" distR="0" wp14:anchorId="4DD7D1BE" wp14:editId="2EC090AF">
            <wp:extent cx="3000375" cy="2247900"/>
            <wp:effectExtent l="0" t="0" r="0" b="0"/>
            <wp:docPr id="986272071" name="Picture 129274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742038"/>
                    <pic:cNvPicPr/>
                  </pic:nvPicPr>
                  <pic:blipFill>
                    <a:blip r:embed="rId23">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7FCBFF8E" wp14:editId="74583413">
            <wp:extent cx="3000375" cy="2247900"/>
            <wp:effectExtent l="0" t="0" r="0" b="0"/>
            <wp:docPr id="1966549436" name="Picture 673098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098715"/>
                    <pic:cNvPicPr/>
                  </pic:nvPicPr>
                  <pic:blipFill>
                    <a:blip r:embed="rId24">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3FDF2168" wp14:editId="31E43CAB">
            <wp:extent cx="3000375" cy="2247900"/>
            <wp:effectExtent l="0" t="0" r="0" b="0"/>
            <wp:docPr id="1374988659" name="Picture 861855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855332"/>
                    <pic:cNvPicPr/>
                  </pic:nvPicPr>
                  <pic:blipFill>
                    <a:blip r:embed="rId25">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2DC2FE76" wp14:editId="77456D4D">
            <wp:extent cx="3000375" cy="2247900"/>
            <wp:effectExtent l="0" t="0" r="0" b="0"/>
            <wp:docPr id="625430218" name="Picture 1072699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699248"/>
                    <pic:cNvPicPr/>
                  </pic:nvPicPr>
                  <pic:blipFill>
                    <a:blip r:embed="rId26">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p>
    <w:p w14:paraId="5B816E32" w14:textId="365079C0" w:rsidR="003B2064" w:rsidRPr="003E1FB9" w:rsidRDefault="003B2064" w:rsidP="003B2064">
      <w:pPr>
        <w:pStyle w:val="Caption"/>
      </w:pPr>
      <w:r w:rsidRPr="003E1FB9">
        <w:t xml:space="preserve">Figure </w:t>
      </w:r>
      <w:r>
        <w:t>4</w:t>
      </w:r>
      <w:r w:rsidRPr="003E1FB9">
        <w:t>: Evaluations of limiting factors for the achievable maximum transmit power with different modulations with 400 MHz and 120 kHz SCS</w:t>
      </w:r>
    </w:p>
    <w:p w14:paraId="0F6D5E6A" w14:textId="77777777" w:rsidR="003B2064" w:rsidRPr="003E1FB9" w:rsidRDefault="003B2064" w:rsidP="003B2064"/>
    <w:p w14:paraId="71CBD1B6" w14:textId="77777777" w:rsidR="003B2064" w:rsidRPr="003E1FB9" w:rsidRDefault="003B2064" w:rsidP="00B8274C">
      <w:pPr>
        <w:jc w:val="right"/>
      </w:pPr>
      <w:r>
        <w:rPr>
          <w:noProof/>
        </w:rPr>
        <w:lastRenderedPageBreak/>
        <w:drawing>
          <wp:inline distT="0" distB="0" distL="0" distR="0" wp14:anchorId="604BA73D" wp14:editId="10A9F81B">
            <wp:extent cx="3000375" cy="2247900"/>
            <wp:effectExtent l="0" t="0" r="0" b="0"/>
            <wp:docPr id="1975441445" name="Picture 37051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514176"/>
                    <pic:cNvPicPr/>
                  </pic:nvPicPr>
                  <pic:blipFill>
                    <a:blip r:embed="rId27">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46D09B41" wp14:editId="7A6D8603">
            <wp:extent cx="3000375" cy="2247900"/>
            <wp:effectExtent l="0" t="0" r="0" b="0"/>
            <wp:docPr id="474217730" name="Picture 1880170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170176"/>
                    <pic:cNvPicPr/>
                  </pic:nvPicPr>
                  <pic:blipFill>
                    <a:blip r:embed="rId28">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0F31F397" wp14:editId="467100B3">
            <wp:extent cx="3000375" cy="2247900"/>
            <wp:effectExtent l="0" t="0" r="0" b="0"/>
            <wp:docPr id="1184339592" name="Picture 1898645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645719"/>
                    <pic:cNvPicPr/>
                  </pic:nvPicPr>
                  <pic:blipFill>
                    <a:blip r:embed="rId29">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5202D22B" wp14:editId="7C6B4512">
            <wp:extent cx="3000375" cy="2247900"/>
            <wp:effectExtent l="0" t="0" r="0" b="0"/>
            <wp:docPr id="1672556163" name="Picture 12465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51224"/>
                    <pic:cNvPicPr/>
                  </pic:nvPicPr>
                  <pic:blipFill>
                    <a:blip r:embed="rId30">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78973E1A" wp14:editId="4D7E1FE4">
            <wp:extent cx="3000375" cy="2247900"/>
            <wp:effectExtent l="0" t="0" r="0" b="0"/>
            <wp:docPr id="436587631" name="Picture 1933110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110470"/>
                    <pic:cNvPicPr/>
                  </pic:nvPicPr>
                  <pic:blipFill>
                    <a:blip r:embed="rId31">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Pr>
          <w:noProof/>
        </w:rPr>
        <w:drawing>
          <wp:inline distT="0" distB="0" distL="0" distR="0" wp14:anchorId="093D2E8B" wp14:editId="2DF6FC47">
            <wp:extent cx="3000375" cy="2247900"/>
            <wp:effectExtent l="0" t="0" r="0" b="0"/>
            <wp:docPr id="271789828" name="Picture 965817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817807"/>
                    <pic:cNvPicPr/>
                  </pic:nvPicPr>
                  <pic:blipFill>
                    <a:blip r:embed="rId32">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p>
    <w:p w14:paraId="33391EB7" w14:textId="28C870B8" w:rsidR="003B2064" w:rsidRPr="003E1FB9" w:rsidRDefault="003B2064" w:rsidP="003B2064">
      <w:pPr>
        <w:pStyle w:val="Caption"/>
      </w:pPr>
      <w:r w:rsidRPr="003E1FB9">
        <w:t xml:space="preserve">Figure </w:t>
      </w:r>
      <w:r>
        <w:t>4</w:t>
      </w:r>
      <w:r w:rsidRPr="003E1FB9">
        <w:t>: Evaluations of limiting factors for the achievable maximum transmit power with different modulations with 2160 MHz and 960 kHz SCS</w:t>
      </w:r>
    </w:p>
    <w:p w14:paraId="315C2607" w14:textId="0498A92B" w:rsidR="003B2064" w:rsidRPr="00B8274C" w:rsidRDefault="20B2EA5C" w:rsidP="003B2064">
      <w:pPr>
        <w:rPr>
          <w:b/>
          <w:bCs/>
        </w:rPr>
      </w:pPr>
      <w:r w:rsidRPr="58B0F71D">
        <w:rPr>
          <w:b/>
          <w:bCs/>
        </w:rPr>
        <w:t>Observation 1</w:t>
      </w:r>
      <w:r w:rsidRPr="00B8274C">
        <w:rPr>
          <w:b/>
          <w:bCs/>
        </w:rPr>
        <w:t xml:space="preserve">: Based on our MPR (Maximum power reduction) simulations modulation quality (EVM) is often the limiting for the achievable maximum transmit for NR from 52.6 GHz to 71 GHz </w:t>
      </w:r>
    </w:p>
    <w:p w14:paraId="372BA253" w14:textId="5496FABC" w:rsidR="003B2064" w:rsidRDefault="003B2064" w:rsidP="003B2064">
      <w:r w:rsidRPr="003E1FB9">
        <w:t xml:space="preserve">As discussed in the earlier sections, phase noise is limiting link performance especially with higher order modulations. These MPR simulation results show that the achievable maximum transmit power is often limited by the EVM performance especially with the higher order modulations. Also, phase noise is a significant contributor to EVM. In order to avoid further coverage reductions due to poor phase noise performance and large MPR for meeting the EVM </w:t>
      </w:r>
      <w:r w:rsidRPr="003E1FB9">
        <w:lastRenderedPageBreak/>
        <w:t>requirements, it would be important to design NR from 52.6 GHz to 71 GHz so that phase noise degradations in link performance can be minimized.</w:t>
      </w:r>
    </w:p>
    <w:p w14:paraId="3F1DD98F" w14:textId="73532106" w:rsidR="002E0CD4" w:rsidRDefault="002E0CD4" w:rsidP="003B2064">
      <w:bookmarkStart w:id="2" w:name="_Hlk54351566"/>
      <w:r>
        <w:t>Achievable UE output power was also evaluated for different array sizes. The results have been captured to table 1.</w:t>
      </w:r>
    </w:p>
    <w:p w14:paraId="5726E2DB" w14:textId="02427D7F" w:rsidR="002E0CD4" w:rsidRPr="002E0CD4" w:rsidRDefault="002E0CD4" w:rsidP="002E0CD4">
      <w:pPr>
        <w:jc w:val="center"/>
        <w:rPr>
          <w:b/>
          <w:bCs/>
        </w:rPr>
      </w:pPr>
      <w:r w:rsidRPr="002E0CD4">
        <w:rPr>
          <w:b/>
          <w:bCs/>
        </w:rPr>
        <w:t>Table 1: Achievable UE output power for different array sizes</w:t>
      </w:r>
    </w:p>
    <w:tbl>
      <w:tblPr>
        <w:tblW w:w="6700" w:type="dxa"/>
        <w:jc w:val="center"/>
        <w:tblCellMar>
          <w:left w:w="70" w:type="dxa"/>
          <w:right w:w="70" w:type="dxa"/>
        </w:tblCellMar>
        <w:tblLook w:val="04A0" w:firstRow="1" w:lastRow="0" w:firstColumn="1" w:lastColumn="0" w:noHBand="0" w:noVBand="1"/>
      </w:tblPr>
      <w:tblGrid>
        <w:gridCol w:w="1680"/>
        <w:gridCol w:w="960"/>
        <w:gridCol w:w="1015"/>
        <w:gridCol w:w="1015"/>
        <w:gridCol w:w="1015"/>
        <w:gridCol w:w="1015"/>
      </w:tblGrid>
      <w:tr w:rsidR="002E0CD4" w:rsidRPr="002E0CD4" w14:paraId="043305F3" w14:textId="77777777" w:rsidTr="002E0CD4">
        <w:trPr>
          <w:trHeight w:val="300"/>
          <w:jc w:val="center"/>
        </w:trPr>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FD72E" w14:textId="77777777" w:rsidR="002E0CD4" w:rsidRPr="002E0CD4" w:rsidRDefault="002E0CD4" w:rsidP="002E0CD4">
            <w:pPr>
              <w:spacing w:after="0"/>
              <w:jc w:val="center"/>
              <w:rPr>
                <w:rFonts w:ascii="Arial" w:eastAsia="Times New Roman" w:hAnsi="Arial" w:cs="Arial"/>
                <w:b/>
                <w:bCs/>
                <w:color w:val="000000"/>
                <w:sz w:val="18"/>
                <w:szCs w:val="18"/>
                <w:lang w:val="fi-FI" w:eastAsia="fi-FI"/>
              </w:rPr>
            </w:pPr>
            <w:r w:rsidRPr="002E0CD4">
              <w:rPr>
                <w:rFonts w:ascii="Arial" w:eastAsia="Times New Roman" w:hAnsi="Arial" w:cs="Arial"/>
                <w:b/>
                <w:bCs/>
                <w:color w:val="000000"/>
                <w:sz w:val="18"/>
                <w:szCs w:val="18"/>
                <w:lang w:eastAsia="fi-FI"/>
              </w:rPr>
              <w:t>Parameter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1DEC360" w14:textId="77777777" w:rsidR="002E0CD4" w:rsidRPr="002E0CD4" w:rsidRDefault="002E0CD4" w:rsidP="002E0CD4">
            <w:pPr>
              <w:spacing w:after="0"/>
              <w:jc w:val="center"/>
              <w:rPr>
                <w:rFonts w:ascii="Arial" w:eastAsia="Times New Roman" w:hAnsi="Arial" w:cs="Arial"/>
                <w:b/>
                <w:bCs/>
                <w:color w:val="000000"/>
                <w:sz w:val="18"/>
                <w:szCs w:val="18"/>
                <w:lang w:val="fi-FI" w:eastAsia="fi-FI"/>
              </w:rPr>
            </w:pPr>
            <w:r w:rsidRPr="002E0CD4">
              <w:rPr>
                <w:rFonts w:ascii="Arial" w:eastAsia="Times New Roman" w:hAnsi="Arial" w:cs="Arial"/>
                <w:b/>
                <w:bCs/>
                <w:color w:val="000000"/>
                <w:sz w:val="18"/>
                <w:szCs w:val="18"/>
                <w:lang w:eastAsia="fi-FI"/>
              </w:rPr>
              <w:t>Unit</w:t>
            </w:r>
          </w:p>
        </w:tc>
        <w:tc>
          <w:tcPr>
            <w:tcW w:w="40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9F9EE2C" w14:textId="77777777" w:rsidR="002E0CD4" w:rsidRPr="002E0CD4" w:rsidRDefault="002E0CD4" w:rsidP="002E0CD4">
            <w:pPr>
              <w:spacing w:after="0"/>
              <w:jc w:val="center"/>
              <w:rPr>
                <w:rFonts w:ascii="Arial" w:eastAsia="Times New Roman" w:hAnsi="Arial" w:cs="Arial"/>
                <w:b/>
                <w:bCs/>
                <w:color w:val="000000"/>
                <w:sz w:val="18"/>
                <w:szCs w:val="18"/>
                <w:lang w:val="fi-FI" w:eastAsia="fi-FI"/>
              </w:rPr>
            </w:pPr>
            <w:r w:rsidRPr="002E0CD4">
              <w:rPr>
                <w:rFonts w:ascii="Arial" w:eastAsia="Times New Roman" w:hAnsi="Arial" w:cs="Arial"/>
                <w:b/>
                <w:bCs/>
                <w:color w:val="000000"/>
                <w:sz w:val="18"/>
                <w:szCs w:val="18"/>
                <w:lang w:val="fi-FI" w:eastAsia="fi-FI"/>
              </w:rPr>
              <w:t>Value</w:t>
            </w:r>
          </w:p>
        </w:tc>
      </w:tr>
      <w:tr w:rsidR="002E0CD4" w:rsidRPr="002E0CD4" w14:paraId="7925EA3B" w14:textId="77777777" w:rsidTr="002E0CD4">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3477E769"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 ant elements per polarization</w:t>
            </w:r>
          </w:p>
        </w:tc>
        <w:tc>
          <w:tcPr>
            <w:tcW w:w="960" w:type="dxa"/>
            <w:tcBorders>
              <w:top w:val="nil"/>
              <w:left w:val="nil"/>
              <w:bottom w:val="single" w:sz="4" w:space="0" w:color="auto"/>
              <w:right w:val="single" w:sz="4" w:space="0" w:color="auto"/>
            </w:tcBorders>
            <w:shd w:val="clear" w:color="auto" w:fill="auto"/>
            <w:vAlign w:val="center"/>
            <w:hideMark/>
          </w:tcPr>
          <w:p w14:paraId="76F58075" w14:textId="2B78A744" w:rsidR="002E0CD4" w:rsidRPr="002E0CD4" w:rsidRDefault="002E0CD4" w:rsidP="002E0CD4">
            <w:pPr>
              <w:spacing w:after="0"/>
              <w:jc w:val="center"/>
              <w:rPr>
                <w:rFonts w:ascii="Arial" w:eastAsia="Times New Roman" w:hAnsi="Arial" w:cs="Arial"/>
                <w:color w:val="000000"/>
                <w:sz w:val="18"/>
                <w:szCs w:val="18"/>
                <w:lang w:eastAsia="fi-FI"/>
              </w:rPr>
            </w:pPr>
          </w:p>
        </w:tc>
        <w:tc>
          <w:tcPr>
            <w:tcW w:w="1015" w:type="dxa"/>
            <w:tcBorders>
              <w:top w:val="nil"/>
              <w:left w:val="nil"/>
              <w:bottom w:val="single" w:sz="4" w:space="0" w:color="auto"/>
              <w:right w:val="single" w:sz="4" w:space="0" w:color="auto"/>
            </w:tcBorders>
            <w:shd w:val="clear" w:color="auto" w:fill="auto"/>
            <w:noWrap/>
            <w:vAlign w:val="center"/>
            <w:hideMark/>
          </w:tcPr>
          <w:p w14:paraId="434DF620"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20E7F993"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7E5E4EF8"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8</w:t>
            </w:r>
          </w:p>
        </w:tc>
        <w:tc>
          <w:tcPr>
            <w:tcW w:w="1015" w:type="dxa"/>
            <w:tcBorders>
              <w:top w:val="nil"/>
              <w:left w:val="nil"/>
              <w:bottom w:val="single" w:sz="4" w:space="0" w:color="auto"/>
              <w:right w:val="single" w:sz="4" w:space="0" w:color="auto"/>
            </w:tcBorders>
            <w:shd w:val="clear" w:color="auto" w:fill="auto"/>
            <w:noWrap/>
            <w:vAlign w:val="center"/>
            <w:hideMark/>
          </w:tcPr>
          <w:p w14:paraId="030886BE"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16</w:t>
            </w:r>
          </w:p>
        </w:tc>
      </w:tr>
      <w:tr w:rsidR="002E0CD4" w:rsidRPr="002E0CD4" w14:paraId="665CF2F0" w14:textId="77777777" w:rsidTr="002E0CD4">
        <w:trPr>
          <w:trHeight w:val="72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3E97D704"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Avg. element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62208F7D" w14:textId="77777777" w:rsidR="002E0CD4" w:rsidRPr="002E0CD4" w:rsidRDefault="002E0CD4" w:rsidP="002E0CD4">
            <w:pPr>
              <w:spacing w:after="0"/>
              <w:jc w:val="center"/>
              <w:rPr>
                <w:rFonts w:ascii="Arial" w:eastAsia="Times New Roman" w:hAnsi="Arial" w:cs="Arial"/>
                <w:color w:val="000000"/>
                <w:sz w:val="18"/>
                <w:szCs w:val="18"/>
                <w:lang w:eastAsia="fi-FI"/>
              </w:rPr>
            </w:pPr>
            <w:proofErr w:type="spellStart"/>
            <w:r w:rsidRPr="002E0CD4">
              <w:rPr>
                <w:rFonts w:ascii="Arial" w:eastAsia="Times New Roman" w:hAnsi="Arial" w:cs="Arial"/>
                <w:color w:val="000000"/>
                <w:sz w:val="18"/>
                <w:szCs w:val="18"/>
                <w:lang w:eastAsia="fi-FI"/>
              </w:rPr>
              <w:t>dBi</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162DA2DA"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6FCD4302"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30909E4F"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37161CD5"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w:t>
            </w:r>
          </w:p>
        </w:tc>
      </w:tr>
      <w:tr w:rsidR="002E0CD4" w:rsidRPr="002E0CD4" w14:paraId="4068C83B" w14:textId="77777777" w:rsidTr="002E0CD4">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6E0E00B"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Antenna roll-off loss vs frequency</w:t>
            </w:r>
          </w:p>
        </w:tc>
        <w:tc>
          <w:tcPr>
            <w:tcW w:w="960" w:type="dxa"/>
            <w:tcBorders>
              <w:top w:val="nil"/>
              <w:left w:val="nil"/>
              <w:bottom w:val="single" w:sz="4" w:space="0" w:color="auto"/>
              <w:right w:val="single" w:sz="4" w:space="0" w:color="auto"/>
            </w:tcBorders>
            <w:shd w:val="clear" w:color="auto" w:fill="auto"/>
            <w:vAlign w:val="center"/>
            <w:hideMark/>
          </w:tcPr>
          <w:p w14:paraId="4BFFCD54"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2F74E65C"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32B61EE8"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0FCC68B3"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2FD95A45"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w:t>
            </w:r>
          </w:p>
        </w:tc>
      </w:tr>
      <w:tr w:rsidR="002E0CD4" w:rsidRPr="002E0CD4" w14:paraId="3AC3E9E3" w14:textId="77777777" w:rsidTr="002E0CD4">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0ED65DFF"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Antenna efficiency</w:t>
            </w:r>
          </w:p>
        </w:tc>
        <w:tc>
          <w:tcPr>
            <w:tcW w:w="960" w:type="dxa"/>
            <w:tcBorders>
              <w:top w:val="nil"/>
              <w:left w:val="nil"/>
              <w:bottom w:val="single" w:sz="4" w:space="0" w:color="auto"/>
              <w:right w:val="single" w:sz="4" w:space="0" w:color="auto"/>
            </w:tcBorders>
            <w:shd w:val="clear" w:color="auto" w:fill="auto"/>
            <w:vAlign w:val="center"/>
            <w:hideMark/>
          </w:tcPr>
          <w:p w14:paraId="50E0BBF4"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589761F2"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429566BE"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78935B17"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481A79EA"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w:t>
            </w:r>
          </w:p>
        </w:tc>
      </w:tr>
      <w:tr w:rsidR="002E0CD4" w:rsidRPr="002E0CD4" w14:paraId="15CA04E8" w14:textId="77777777" w:rsidTr="002E0CD4">
        <w:trPr>
          <w:trHeight w:val="72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08F0882E"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Realized antenna array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0EA4F09B" w14:textId="77777777" w:rsidR="002E0CD4" w:rsidRPr="002E0CD4" w:rsidRDefault="002E0CD4" w:rsidP="002E0CD4">
            <w:pPr>
              <w:spacing w:after="0"/>
              <w:jc w:val="center"/>
              <w:rPr>
                <w:rFonts w:ascii="Arial" w:eastAsia="Times New Roman" w:hAnsi="Arial" w:cs="Arial"/>
                <w:color w:val="000000"/>
                <w:sz w:val="18"/>
                <w:szCs w:val="18"/>
                <w:lang w:eastAsia="fi-FI"/>
              </w:rPr>
            </w:pPr>
            <w:proofErr w:type="spellStart"/>
            <w:r w:rsidRPr="002E0CD4">
              <w:rPr>
                <w:rFonts w:ascii="Arial" w:eastAsia="Times New Roman" w:hAnsi="Arial" w:cs="Arial"/>
                <w:color w:val="000000"/>
                <w:sz w:val="18"/>
                <w:szCs w:val="18"/>
                <w:lang w:eastAsia="fi-FI"/>
              </w:rPr>
              <w:t>dBi</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68AF1E02"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4.0</w:t>
            </w:r>
          </w:p>
        </w:tc>
        <w:tc>
          <w:tcPr>
            <w:tcW w:w="1015" w:type="dxa"/>
            <w:tcBorders>
              <w:top w:val="nil"/>
              <w:left w:val="nil"/>
              <w:bottom w:val="single" w:sz="4" w:space="0" w:color="auto"/>
              <w:right w:val="single" w:sz="4" w:space="0" w:color="auto"/>
            </w:tcBorders>
            <w:shd w:val="clear" w:color="auto" w:fill="auto"/>
            <w:noWrap/>
            <w:vAlign w:val="center"/>
            <w:hideMark/>
          </w:tcPr>
          <w:p w14:paraId="211F194E"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7.0</w:t>
            </w:r>
          </w:p>
        </w:tc>
        <w:tc>
          <w:tcPr>
            <w:tcW w:w="1015" w:type="dxa"/>
            <w:tcBorders>
              <w:top w:val="nil"/>
              <w:left w:val="nil"/>
              <w:bottom w:val="single" w:sz="4" w:space="0" w:color="auto"/>
              <w:right w:val="single" w:sz="4" w:space="0" w:color="auto"/>
            </w:tcBorders>
            <w:shd w:val="clear" w:color="auto" w:fill="auto"/>
            <w:noWrap/>
            <w:vAlign w:val="center"/>
            <w:hideMark/>
          </w:tcPr>
          <w:p w14:paraId="411A925D"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10.0</w:t>
            </w:r>
          </w:p>
        </w:tc>
        <w:tc>
          <w:tcPr>
            <w:tcW w:w="1015" w:type="dxa"/>
            <w:tcBorders>
              <w:top w:val="nil"/>
              <w:left w:val="nil"/>
              <w:bottom w:val="single" w:sz="4" w:space="0" w:color="auto"/>
              <w:right w:val="single" w:sz="4" w:space="0" w:color="auto"/>
            </w:tcBorders>
            <w:shd w:val="clear" w:color="auto" w:fill="auto"/>
            <w:noWrap/>
            <w:vAlign w:val="center"/>
            <w:hideMark/>
          </w:tcPr>
          <w:p w14:paraId="336DC923"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13.0</w:t>
            </w:r>
          </w:p>
        </w:tc>
      </w:tr>
      <w:tr w:rsidR="002E0CD4" w:rsidRPr="002E0CD4" w14:paraId="7348D6DC" w14:textId="77777777" w:rsidTr="002E0CD4">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022AECCF"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Polarization gain</w:t>
            </w:r>
          </w:p>
        </w:tc>
        <w:tc>
          <w:tcPr>
            <w:tcW w:w="960" w:type="dxa"/>
            <w:tcBorders>
              <w:top w:val="nil"/>
              <w:left w:val="nil"/>
              <w:bottom w:val="single" w:sz="4" w:space="0" w:color="auto"/>
              <w:right w:val="single" w:sz="4" w:space="0" w:color="auto"/>
            </w:tcBorders>
            <w:shd w:val="clear" w:color="auto" w:fill="auto"/>
            <w:vAlign w:val="center"/>
            <w:hideMark/>
          </w:tcPr>
          <w:p w14:paraId="43CB8157"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712DACAA"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0045E03C"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13B8159F"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1822349B"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2.8</w:t>
            </w:r>
          </w:p>
        </w:tc>
      </w:tr>
      <w:tr w:rsidR="002E0CD4" w:rsidRPr="002E0CD4" w14:paraId="2CA5FE2A" w14:textId="77777777" w:rsidTr="002E0CD4">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4C679CEE" w14:textId="02E7CF1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P1d</w:t>
            </w:r>
            <w:r>
              <w:rPr>
                <w:rFonts w:ascii="Arial" w:eastAsia="Times New Roman" w:hAnsi="Arial" w:cs="Arial"/>
                <w:color w:val="000000"/>
                <w:sz w:val="18"/>
                <w:szCs w:val="18"/>
                <w:lang w:eastAsia="fi-FI"/>
              </w:rPr>
              <w:t>B</w:t>
            </w:r>
            <w:r w:rsidRPr="002E0CD4">
              <w:rPr>
                <w:rFonts w:ascii="Arial" w:eastAsia="Times New Roman" w:hAnsi="Arial" w:cs="Arial"/>
                <w:color w:val="000000"/>
                <w:sz w:val="18"/>
                <w:szCs w:val="18"/>
                <w:lang w:eastAsia="fi-FI"/>
              </w:rPr>
              <w:t xml:space="preserve"> per PA</w:t>
            </w:r>
          </w:p>
        </w:tc>
        <w:tc>
          <w:tcPr>
            <w:tcW w:w="960" w:type="dxa"/>
            <w:tcBorders>
              <w:top w:val="nil"/>
              <w:left w:val="nil"/>
              <w:bottom w:val="single" w:sz="4" w:space="0" w:color="auto"/>
              <w:right w:val="single" w:sz="4" w:space="0" w:color="auto"/>
            </w:tcBorders>
            <w:shd w:val="clear" w:color="auto" w:fill="auto"/>
            <w:vAlign w:val="center"/>
            <w:hideMark/>
          </w:tcPr>
          <w:p w14:paraId="3DFC2ECD"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dBm</w:t>
            </w:r>
          </w:p>
        </w:tc>
        <w:tc>
          <w:tcPr>
            <w:tcW w:w="1015" w:type="dxa"/>
            <w:tcBorders>
              <w:top w:val="nil"/>
              <w:left w:val="nil"/>
              <w:bottom w:val="single" w:sz="4" w:space="0" w:color="auto"/>
              <w:right w:val="single" w:sz="4" w:space="0" w:color="auto"/>
            </w:tcBorders>
            <w:shd w:val="clear" w:color="auto" w:fill="auto"/>
            <w:noWrap/>
            <w:vAlign w:val="center"/>
            <w:hideMark/>
          </w:tcPr>
          <w:p w14:paraId="0E9C4E3C"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1D720C85"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3B57110D"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1635E52F"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14</w:t>
            </w:r>
          </w:p>
        </w:tc>
      </w:tr>
      <w:tr w:rsidR="002E0CD4" w:rsidRPr="002E0CD4" w14:paraId="40EA0EFA" w14:textId="77777777" w:rsidTr="002E0CD4">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77144CAC"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back-off from P1dB</w:t>
            </w:r>
          </w:p>
        </w:tc>
        <w:tc>
          <w:tcPr>
            <w:tcW w:w="960" w:type="dxa"/>
            <w:tcBorders>
              <w:top w:val="nil"/>
              <w:left w:val="nil"/>
              <w:bottom w:val="single" w:sz="4" w:space="0" w:color="auto"/>
              <w:right w:val="single" w:sz="4" w:space="0" w:color="auto"/>
            </w:tcBorders>
            <w:shd w:val="clear" w:color="auto" w:fill="auto"/>
            <w:vAlign w:val="center"/>
            <w:hideMark/>
          </w:tcPr>
          <w:p w14:paraId="60CE6442"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68E928E4"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53D2A8C4"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53A13D4B"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6BB95B22"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6</w:t>
            </w:r>
          </w:p>
        </w:tc>
      </w:tr>
      <w:tr w:rsidR="002E0CD4" w:rsidRPr="002E0CD4" w14:paraId="52C30556" w14:textId="77777777" w:rsidTr="002E0CD4">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6E4D6EC0" w14:textId="4EB5B89D"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TRP</w:t>
            </w:r>
          </w:p>
        </w:tc>
        <w:tc>
          <w:tcPr>
            <w:tcW w:w="960" w:type="dxa"/>
            <w:tcBorders>
              <w:top w:val="nil"/>
              <w:left w:val="nil"/>
              <w:bottom w:val="single" w:sz="4" w:space="0" w:color="auto"/>
              <w:right w:val="single" w:sz="4" w:space="0" w:color="auto"/>
            </w:tcBorders>
            <w:shd w:val="clear" w:color="auto" w:fill="auto"/>
            <w:vAlign w:val="center"/>
            <w:hideMark/>
          </w:tcPr>
          <w:p w14:paraId="2B9EA51A"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003098E9"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11.0</w:t>
            </w:r>
          </w:p>
        </w:tc>
        <w:tc>
          <w:tcPr>
            <w:tcW w:w="1015" w:type="dxa"/>
            <w:tcBorders>
              <w:top w:val="nil"/>
              <w:left w:val="nil"/>
              <w:bottom w:val="single" w:sz="4" w:space="0" w:color="auto"/>
              <w:right w:val="single" w:sz="4" w:space="0" w:color="auto"/>
            </w:tcBorders>
            <w:shd w:val="clear" w:color="auto" w:fill="auto"/>
            <w:noWrap/>
            <w:vAlign w:val="center"/>
            <w:hideMark/>
          </w:tcPr>
          <w:p w14:paraId="6366DA8A"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14.0</w:t>
            </w:r>
          </w:p>
        </w:tc>
        <w:tc>
          <w:tcPr>
            <w:tcW w:w="1015" w:type="dxa"/>
            <w:tcBorders>
              <w:top w:val="nil"/>
              <w:left w:val="nil"/>
              <w:bottom w:val="single" w:sz="4" w:space="0" w:color="auto"/>
              <w:right w:val="single" w:sz="4" w:space="0" w:color="auto"/>
            </w:tcBorders>
            <w:shd w:val="clear" w:color="auto" w:fill="auto"/>
            <w:noWrap/>
            <w:vAlign w:val="center"/>
            <w:hideMark/>
          </w:tcPr>
          <w:p w14:paraId="7BDACD4D"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17.0</w:t>
            </w:r>
          </w:p>
        </w:tc>
        <w:tc>
          <w:tcPr>
            <w:tcW w:w="1015" w:type="dxa"/>
            <w:tcBorders>
              <w:top w:val="nil"/>
              <w:left w:val="nil"/>
              <w:bottom w:val="single" w:sz="4" w:space="0" w:color="auto"/>
              <w:right w:val="single" w:sz="4" w:space="0" w:color="auto"/>
            </w:tcBorders>
            <w:shd w:val="clear" w:color="auto" w:fill="auto"/>
            <w:noWrap/>
            <w:vAlign w:val="center"/>
            <w:hideMark/>
          </w:tcPr>
          <w:p w14:paraId="14030427"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20.1</w:t>
            </w:r>
          </w:p>
        </w:tc>
      </w:tr>
      <w:tr w:rsidR="002E0CD4" w:rsidRPr="002E0CD4" w14:paraId="58FA6718" w14:textId="77777777" w:rsidTr="002E0CD4">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EB0A4C9"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EIRP</w:t>
            </w:r>
          </w:p>
        </w:tc>
        <w:tc>
          <w:tcPr>
            <w:tcW w:w="960" w:type="dxa"/>
            <w:tcBorders>
              <w:top w:val="nil"/>
              <w:left w:val="nil"/>
              <w:bottom w:val="single" w:sz="4" w:space="0" w:color="auto"/>
              <w:right w:val="single" w:sz="4" w:space="0" w:color="auto"/>
            </w:tcBorders>
            <w:shd w:val="clear" w:color="auto" w:fill="auto"/>
            <w:vAlign w:val="center"/>
            <w:hideMark/>
          </w:tcPr>
          <w:p w14:paraId="79AE861D"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375BF13C"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14.8</w:t>
            </w:r>
          </w:p>
        </w:tc>
        <w:tc>
          <w:tcPr>
            <w:tcW w:w="1015" w:type="dxa"/>
            <w:tcBorders>
              <w:top w:val="nil"/>
              <w:left w:val="nil"/>
              <w:bottom w:val="single" w:sz="4" w:space="0" w:color="auto"/>
              <w:right w:val="single" w:sz="4" w:space="0" w:color="auto"/>
            </w:tcBorders>
            <w:shd w:val="clear" w:color="auto" w:fill="auto"/>
            <w:noWrap/>
            <w:vAlign w:val="center"/>
            <w:hideMark/>
          </w:tcPr>
          <w:p w14:paraId="5D425772"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20.9</w:t>
            </w:r>
          </w:p>
        </w:tc>
        <w:tc>
          <w:tcPr>
            <w:tcW w:w="1015" w:type="dxa"/>
            <w:tcBorders>
              <w:top w:val="nil"/>
              <w:left w:val="nil"/>
              <w:bottom w:val="single" w:sz="4" w:space="0" w:color="auto"/>
              <w:right w:val="single" w:sz="4" w:space="0" w:color="auto"/>
            </w:tcBorders>
            <w:shd w:val="clear" w:color="auto" w:fill="auto"/>
            <w:noWrap/>
            <w:vAlign w:val="center"/>
            <w:hideMark/>
          </w:tcPr>
          <w:p w14:paraId="5521A9A6"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26.9</w:t>
            </w:r>
          </w:p>
        </w:tc>
        <w:tc>
          <w:tcPr>
            <w:tcW w:w="1015" w:type="dxa"/>
            <w:tcBorders>
              <w:top w:val="nil"/>
              <w:left w:val="nil"/>
              <w:bottom w:val="single" w:sz="4" w:space="0" w:color="auto"/>
              <w:right w:val="single" w:sz="4" w:space="0" w:color="auto"/>
            </w:tcBorders>
            <w:shd w:val="clear" w:color="auto" w:fill="auto"/>
            <w:noWrap/>
            <w:vAlign w:val="center"/>
            <w:hideMark/>
          </w:tcPr>
          <w:p w14:paraId="07761B1A"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32.9</w:t>
            </w:r>
          </w:p>
        </w:tc>
      </w:tr>
    </w:tbl>
    <w:p w14:paraId="0B33AE96" w14:textId="4BD51208" w:rsidR="002E0CD4" w:rsidRDefault="002E0CD4" w:rsidP="003B2064"/>
    <w:p w14:paraId="48218CC8" w14:textId="052E4CFB" w:rsidR="002E0CD4" w:rsidRDefault="002E0CD4" w:rsidP="003B2064">
      <w:r>
        <w:t xml:space="preserve">From table one it can be observed that </w:t>
      </w:r>
      <w:proofErr w:type="gramStart"/>
      <w:r>
        <w:t>as long as</w:t>
      </w:r>
      <w:proofErr w:type="gramEnd"/>
      <w:r>
        <w:t xml:space="preserve"> implementation losses are kept in control it is possible to achieve reasonable output powers. It should be noted that P1dB used in the table may be conservative compared to P1dB achievable from e.g. CMOS technology</w:t>
      </w:r>
      <w:r w:rsidR="00B4172D">
        <w:t>. Therefore, it can be considered that front-end losses are captured in the analysis already by choosing a low output power per PA.</w:t>
      </w:r>
    </w:p>
    <w:p w14:paraId="5BD30841" w14:textId="61863058" w:rsidR="002E0CD4" w:rsidRDefault="00B4172D" w:rsidP="003B2064">
      <w:pPr>
        <w:rPr>
          <w:b/>
          <w:bCs/>
        </w:rPr>
      </w:pPr>
      <w:r w:rsidRPr="00B4172D">
        <w:rPr>
          <w:b/>
          <w:bCs/>
        </w:rPr>
        <w:t>Observation 2:</w:t>
      </w:r>
      <w:r>
        <w:rPr>
          <w:b/>
          <w:bCs/>
        </w:rPr>
        <w:t xml:space="preserve"> Implementation losses need special attention to guarantee high EIRP output and therefore good UL link budget. </w:t>
      </w:r>
    </w:p>
    <w:p w14:paraId="73F982CC" w14:textId="7568BE8E" w:rsidR="00B4172D" w:rsidRPr="00B4172D" w:rsidRDefault="00B4172D" w:rsidP="003B2064">
      <w:pPr>
        <w:rPr>
          <w:b/>
          <w:bCs/>
        </w:rPr>
      </w:pPr>
      <w:r>
        <w:rPr>
          <w:b/>
          <w:bCs/>
        </w:rPr>
        <w:t>Proposal 1: RAN4 strives to keep UE implementation loss budget reasonably small for NR operation above 52.6 GHz to ensure good UL link budget.</w:t>
      </w:r>
    </w:p>
    <w:bookmarkEnd w:id="2"/>
    <w:p w14:paraId="20C830FB" w14:textId="189CEA16" w:rsidR="003B2064" w:rsidRPr="007110AC" w:rsidRDefault="003B2064" w:rsidP="003B2064">
      <w:pPr>
        <w:pStyle w:val="Heading2"/>
        <w:overflowPunct w:val="0"/>
        <w:autoSpaceDE w:val="0"/>
        <w:autoSpaceDN w:val="0"/>
        <w:adjustRightInd w:val="0"/>
        <w:textAlignment w:val="baseline"/>
        <w:rPr>
          <w:sz w:val="24"/>
          <w:szCs w:val="24"/>
        </w:rPr>
      </w:pPr>
      <w:r w:rsidRPr="3D7D7D38">
        <w:rPr>
          <w:sz w:val="24"/>
          <w:szCs w:val="24"/>
          <w:lang w:val="en-US"/>
        </w:rPr>
        <w:t>Uplink allocations</w:t>
      </w:r>
    </w:p>
    <w:p w14:paraId="73E7405F" w14:textId="77777777" w:rsidR="006C44A6" w:rsidRDefault="00AF092A" w:rsidP="006C44A6">
      <w:pPr>
        <w:spacing w:after="0"/>
      </w:pPr>
      <w:r>
        <w:t xml:space="preserve">It is well known that the propagation losses above 52.6 GHz are greater than at current FR2 operating bands. Therefore, as discussed in section 2.1, it is important to make sure MPR is as small as possible to ensure </w:t>
      </w:r>
      <w:proofErr w:type="gramStart"/>
      <w:r>
        <w:t>sufficient</w:t>
      </w:r>
      <w:proofErr w:type="gramEnd"/>
      <w:r>
        <w:t xml:space="preserve"> UL link budget. One case where MPR is traditionally observed to be high is multi-clustered allocations. As illustrated in Figure 1, narrow allocations cause narrow spectral peaks which easily end up limiting the output power due to emission limits. </w:t>
      </w:r>
      <w:r w:rsidR="006C44A6">
        <w:t xml:space="preserve">This impact is emphasized when the UL allocation consists of multiple narrow PRB groups, i.e. multiple </w:t>
      </w:r>
    </w:p>
    <w:p w14:paraId="39F6215A" w14:textId="769C08F5" w:rsidR="3D7D7D38" w:rsidRDefault="006C44A6" w:rsidP="006C44A6">
      <w:pPr>
        <w:spacing w:after="0"/>
      </w:pPr>
      <w:r>
        <w:t xml:space="preserve">clusters. Even without emission concerns, the single carrier nature of DFT-s-OFDM waveform is corrupted by breaking the allocation into non-contiguous frequencies, increasing the PAPR of the signal. </w:t>
      </w:r>
    </w:p>
    <w:p w14:paraId="5D15CDF0" w14:textId="288A67ED" w:rsidR="00AF092A" w:rsidRDefault="00AF092A">
      <w:pPr>
        <w:spacing w:after="0"/>
      </w:pPr>
    </w:p>
    <w:p w14:paraId="4DA6063B" w14:textId="793AECDB" w:rsidR="00AF092A" w:rsidRDefault="00AF092A">
      <w:pPr>
        <w:spacing w:after="0"/>
      </w:pPr>
      <w:r>
        <w:t xml:space="preserve">To maximize the link </w:t>
      </w:r>
      <w:proofErr w:type="gramStart"/>
      <w:r>
        <w:t>budget</w:t>
      </w:r>
      <w:proofErr w:type="gramEnd"/>
      <w:r>
        <w:t xml:space="preserve"> we think it is reasonable for RAN4 to consider whether multi-cluster allocations provide benefits above 52.6 GHz. It is expected that there is a lot of spectrum available, and therefore it should be possible to allocate the UL resources on frequencies which do not suffer from adverse propagation conditions even without splitting the allocation into multiple cluster.</w:t>
      </w:r>
    </w:p>
    <w:p w14:paraId="0EC46018" w14:textId="77777777" w:rsidR="00AF092A" w:rsidRDefault="00AF092A">
      <w:pPr>
        <w:spacing w:after="0"/>
      </w:pPr>
    </w:p>
    <w:p w14:paraId="5829FAC8" w14:textId="4EACBE2B" w:rsidR="00AF092A" w:rsidRPr="00B8274C" w:rsidRDefault="00AF092A" w:rsidP="00B8274C">
      <w:pPr>
        <w:spacing w:after="0"/>
        <w:rPr>
          <w:b/>
          <w:bCs/>
        </w:rPr>
      </w:pPr>
      <w:r w:rsidRPr="00B8274C">
        <w:rPr>
          <w:b/>
          <w:bCs/>
        </w:rPr>
        <w:t xml:space="preserve">Observation </w:t>
      </w:r>
      <w:r w:rsidR="00B4172D">
        <w:rPr>
          <w:b/>
          <w:bCs/>
        </w:rPr>
        <w:t>3</w:t>
      </w:r>
      <w:r w:rsidRPr="00B8274C">
        <w:rPr>
          <w:b/>
          <w:bCs/>
        </w:rPr>
        <w:t>: Multi-cluster allocations increase the PAPR of the signal, and in some cases causes narrow spectral peaks which easily clash with emission limits, resulting in need of higher MPR.</w:t>
      </w:r>
    </w:p>
    <w:p w14:paraId="68416BB1" w14:textId="10D76425" w:rsidR="00AF092A" w:rsidRDefault="00AF092A" w:rsidP="00AF092A">
      <w:pPr>
        <w:tabs>
          <w:tab w:val="left" w:pos="1896"/>
        </w:tabs>
        <w:spacing w:after="0"/>
        <w:rPr>
          <w:iCs/>
          <w:lang w:eastAsia="x-none"/>
        </w:rPr>
      </w:pPr>
    </w:p>
    <w:p w14:paraId="3229A31A" w14:textId="60887240" w:rsidR="00AF092A" w:rsidRDefault="00AF092A" w:rsidP="27BA77A6">
      <w:pPr>
        <w:spacing w:after="0" w:line="259" w:lineRule="auto"/>
        <w:rPr>
          <w:b/>
          <w:bCs/>
        </w:rPr>
      </w:pPr>
      <w:r w:rsidRPr="00B8274C">
        <w:rPr>
          <w:b/>
          <w:bCs/>
        </w:rPr>
        <w:t xml:space="preserve">Proposal </w:t>
      </w:r>
      <w:r w:rsidR="00B4172D">
        <w:rPr>
          <w:b/>
          <w:bCs/>
        </w:rPr>
        <w:t>2</w:t>
      </w:r>
      <w:r w:rsidRPr="00B8274C">
        <w:rPr>
          <w:b/>
          <w:bCs/>
        </w:rPr>
        <w:t>:</w:t>
      </w:r>
      <w:r w:rsidRPr="27BA77A6">
        <w:rPr>
          <w:b/>
          <w:bCs/>
        </w:rPr>
        <w:t xml:space="preserve"> </w:t>
      </w:r>
      <w:r w:rsidR="11103B98" w:rsidRPr="27BA77A6">
        <w:rPr>
          <w:b/>
          <w:bCs/>
        </w:rPr>
        <w:t>Requirements for multi-cluster UL allocations are not specified for NR operation above 52.6 GHz.</w:t>
      </w:r>
    </w:p>
    <w:p w14:paraId="4D52B37B" w14:textId="45B89A03" w:rsidR="00AF092A" w:rsidRDefault="00AF092A" w:rsidP="00AF092A">
      <w:pPr>
        <w:tabs>
          <w:tab w:val="left" w:pos="1896"/>
        </w:tabs>
        <w:spacing w:after="0"/>
        <w:rPr>
          <w:b/>
          <w:bCs/>
          <w:iCs/>
          <w:lang w:eastAsia="x-none"/>
        </w:rPr>
      </w:pPr>
    </w:p>
    <w:p w14:paraId="55F93B55" w14:textId="54A83CDB" w:rsidR="006C44A6" w:rsidRPr="00B8274C" w:rsidRDefault="006C44A6" w:rsidP="00AF092A">
      <w:pPr>
        <w:tabs>
          <w:tab w:val="left" w:pos="1896"/>
        </w:tabs>
        <w:spacing w:after="0"/>
        <w:rPr>
          <w:iCs/>
          <w:lang w:eastAsia="x-none"/>
        </w:rPr>
      </w:pPr>
      <w:r>
        <w:rPr>
          <w:iCs/>
          <w:lang w:eastAsia="x-none"/>
        </w:rPr>
        <w:t xml:space="preserve">One exception on </w:t>
      </w:r>
      <w:r w:rsidR="00C71940">
        <w:rPr>
          <w:iCs/>
          <w:lang w:eastAsia="x-none"/>
        </w:rPr>
        <w:t>multi-cluster allocations is almost contiguous allocations. They do not have significantly higher MPR than contiguous allocations and therefore can be considered for NR operation above 52.6 GHz.</w:t>
      </w:r>
    </w:p>
    <w:p w14:paraId="26EF4F0E" w14:textId="77777777" w:rsidR="006C44A6" w:rsidRDefault="006C44A6" w:rsidP="00AF092A">
      <w:pPr>
        <w:tabs>
          <w:tab w:val="left" w:pos="1896"/>
        </w:tabs>
        <w:spacing w:after="0"/>
        <w:rPr>
          <w:b/>
          <w:bCs/>
          <w:iCs/>
          <w:lang w:eastAsia="x-none"/>
        </w:rPr>
      </w:pPr>
    </w:p>
    <w:p w14:paraId="46A6F61B" w14:textId="5E231DB0" w:rsidR="00AF092A" w:rsidRPr="00B8274C" w:rsidRDefault="00AF092A" w:rsidP="00B8274C">
      <w:pPr>
        <w:tabs>
          <w:tab w:val="left" w:pos="1896"/>
        </w:tabs>
        <w:spacing w:after="0"/>
        <w:rPr>
          <w:b/>
          <w:bCs/>
          <w:iCs/>
          <w:lang w:eastAsia="x-none"/>
        </w:rPr>
      </w:pPr>
      <w:r>
        <w:rPr>
          <w:b/>
          <w:bCs/>
          <w:iCs/>
          <w:lang w:eastAsia="x-none"/>
        </w:rPr>
        <w:t xml:space="preserve">Proposal </w:t>
      </w:r>
      <w:r w:rsidR="00B4172D">
        <w:rPr>
          <w:b/>
          <w:bCs/>
          <w:iCs/>
          <w:lang w:eastAsia="x-none"/>
        </w:rPr>
        <w:t>3</w:t>
      </w:r>
      <w:r>
        <w:rPr>
          <w:b/>
          <w:bCs/>
          <w:iCs/>
          <w:lang w:eastAsia="x-none"/>
        </w:rPr>
        <w:t>: Almost contiguous allocations sh</w:t>
      </w:r>
      <w:r w:rsidR="00C71940">
        <w:rPr>
          <w:b/>
          <w:bCs/>
          <w:iCs/>
          <w:lang w:eastAsia="x-none"/>
        </w:rPr>
        <w:t xml:space="preserve">all </w:t>
      </w:r>
      <w:r>
        <w:rPr>
          <w:b/>
          <w:bCs/>
          <w:iCs/>
          <w:lang w:eastAsia="x-none"/>
        </w:rPr>
        <w:t xml:space="preserve">be </w:t>
      </w:r>
      <w:r w:rsidR="00C71940">
        <w:rPr>
          <w:b/>
          <w:bCs/>
          <w:iCs/>
          <w:lang w:eastAsia="x-none"/>
        </w:rPr>
        <w:t xml:space="preserve">specified </w:t>
      </w:r>
      <w:r>
        <w:rPr>
          <w:b/>
          <w:bCs/>
          <w:iCs/>
          <w:lang w:eastAsia="x-none"/>
        </w:rPr>
        <w:t>for above 52.6 GHz operation as the MPR impact is smaller than for multi-cluster allocations.</w:t>
      </w:r>
    </w:p>
    <w:p w14:paraId="784233CB" w14:textId="605AE9C3" w:rsidR="001A529A" w:rsidRDefault="001A529A" w:rsidP="001A529A">
      <w:pPr>
        <w:pStyle w:val="Heading2"/>
        <w:overflowPunct w:val="0"/>
        <w:autoSpaceDE w:val="0"/>
        <w:autoSpaceDN w:val="0"/>
        <w:adjustRightInd w:val="0"/>
        <w:textAlignment w:val="baseline"/>
        <w:rPr>
          <w:sz w:val="24"/>
          <w:lang w:val="en-US"/>
        </w:rPr>
      </w:pPr>
      <w:r>
        <w:rPr>
          <w:sz w:val="24"/>
          <w:lang w:val="en-US"/>
        </w:rPr>
        <w:t xml:space="preserve">Other </w:t>
      </w:r>
      <w:r w:rsidR="003B2064">
        <w:rPr>
          <w:sz w:val="24"/>
          <w:lang w:val="en-US"/>
        </w:rPr>
        <w:t>considerations</w:t>
      </w:r>
    </w:p>
    <w:p w14:paraId="431DD0E8" w14:textId="695E0B35" w:rsidR="001A529A" w:rsidRDefault="001A529A" w:rsidP="001A529A">
      <w:pPr>
        <w:rPr>
          <w:lang w:val="en-US" w:eastAsia="zh-CN"/>
        </w:rPr>
      </w:pPr>
      <w:r>
        <w:rPr>
          <w:lang w:val="en-US" w:eastAsia="zh-CN"/>
        </w:rPr>
        <w:t>Timing related topics for operating at wider SCS has been discussed in [6]. In addition, the ON-OFF transient times should be re-evaluated for operation above 52.6 GHz. Especially for wider subcarrier spacings, the transient time starts to eat into the first symbol when transmission is ramped up, causing a risk a degrading base station demodulation performance, therefore impacting throughput and in the end the end user experience. Similar proposal is made for base station ON-OFF transients in [7].</w:t>
      </w:r>
    </w:p>
    <w:p w14:paraId="25204F5A" w14:textId="45620C60" w:rsidR="001A529A" w:rsidRDefault="001A529A" w:rsidP="001A529A">
      <w:pPr>
        <w:rPr>
          <w:b/>
          <w:bCs/>
          <w:lang w:val="en-US" w:eastAsia="zh-CN"/>
        </w:rPr>
      </w:pPr>
      <w:r w:rsidRPr="00B8274C">
        <w:rPr>
          <w:b/>
          <w:bCs/>
          <w:lang w:val="en-US" w:eastAsia="zh-CN"/>
        </w:rPr>
        <w:t xml:space="preserve">Proposal </w:t>
      </w:r>
      <w:r w:rsidR="00B4172D">
        <w:rPr>
          <w:b/>
          <w:bCs/>
          <w:lang w:val="en-US" w:eastAsia="zh-CN"/>
        </w:rPr>
        <w:t>4</w:t>
      </w:r>
      <w:r w:rsidRPr="00B8274C">
        <w:rPr>
          <w:b/>
          <w:bCs/>
          <w:lang w:val="en-US" w:eastAsia="zh-CN"/>
        </w:rPr>
        <w:t>:</w:t>
      </w:r>
      <w:r>
        <w:rPr>
          <w:b/>
          <w:bCs/>
          <w:lang w:val="en-US" w:eastAsia="zh-CN"/>
        </w:rPr>
        <w:t xml:space="preserve"> Evaluate and update On-Off transient times for NR operation above 52.6 GHz.</w:t>
      </w:r>
    </w:p>
    <w:p w14:paraId="6096A8D3" w14:textId="596CB32D" w:rsidR="002A3E16" w:rsidRDefault="001A529A" w:rsidP="001A529A">
      <w:pPr>
        <w:rPr>
          <w:lang w:val="en-US" w:eastAsia="zh-CN"/>
        </w:rPr>
      </w:pPr>
      <w:r>
        <w:rPr>
          <w:lang w:val="en-US" w:eastAsia="zh-CN"/>
        </w:rPr>
        <w:t xml:space="preserve">When core requirements are being specified RAN4 should consider what are reasonable measurement bandwidths to be used, especially considering that with wider subcarrier spacings </w:t>
      </w:r>
      <w:r w:rsidR="002A3E16">
        <w:rPr>
          <w:lang w:val="en-US" w:eastAsia="zh-CN"/>
        </w:rPr>
        <w:t xml:space="preserve">a single resource block also gets wider in frequency. Therefore, using the traditional 1 MHz measurement bandwidth everywhere may not be optimal. Naturally, whenever regulatory requirements mandate a certain measurement bandwidth, it needs to be followed. For actual measurements it should be allowed to measure using lower resolution bandwidth and integrate the power up to the specified measurement bandwidth. </w:t>
      </w:r>
    </w:p>
    <w:p w14:paraId="3A22BE22" w14:textId="51FA1D10" w:rsidR="002A3E16" w:rsidRPr="00B8274C" w:rsidRDefault="002A3E16" w:rsidP="00B8274C">
      <w:pPr>
        <w:rPr>
          <w:b/>
          <w:bCs/>
          <w:lang w:val="en-US"/>
        </w:rPr>
      </w:pPr>
      <w:r w:rsidRPr="00B8274C">
        <w:rPr>
          <w:b/>
          <w:bCs/>
          <w:lang w:val="en-US" w:eastAsia="zh-CN"/>
        </w:rPr>
        <w:t xml:space="preserve">Proposal </w:t>
      </w:r>
      <w:r w:rsidR="00B4172D">
        <w:rPr>
          <w:b/>
          <w:bCs/>
          <w:lang w:val="en-US" w:eastAsia="zh-CN"/>
        </w:rPr>
        <w:t>5</w:t>
      </w:r>
      <w:r w:rsidRPr="00B8274C">
        <w:rPr>
          <w:b/>
          <w:bCs/>
          <w:lang w:val="en-US" w:eastAsia="zh-CN"/>
        </w:rPr>
        <w:t>: RAN4 to evaluate what are reasonable measurement bandwidths to be used above 52.6 GHz.</w:t>
      </w:r>
    </w:p>
    <w:p w14:paraId="305C4695" w14:textId="782527EA" w:rsidR="001A529A" w:rsidRPr="001A529A" w:rsidDel="001A529A" w:rsidRDefault="6EB4082C" w:rsidP="58B0F71D">
      <w:pPr>
        <w:rPr>
          <w:rFonts w:eastAsia="Times New Roman"/>
          <w:color w:val="000000" w:themeColor="text1"/>
          <w:sz w:val="22"/>
          <w:szCs w:val="22"/>
          <w:lang w:val="en-US"/>
        </w:rPr>
      </w:pPr>
      <w:r w:rsidRPr="58B0F71D">
        <w:rPr>
          <w:rFonts w:eastAsia="Times New Roman"/>
          <w:color w:val="000000" w:themeColor="text1"/>
          <w:sz w:val="22"/>
          <w:szCs w:val="22"/>
          <w:lang w:val="en-US"/>
        </w:rPr>
        <w:t xml:space="preserve">One major part of the work in defining requirements for a new frequency range is to run co-existence simulations to find out what is the required ACLR and ACS performance required to guarantee co-existence between operators </w:t>
      </w:r>
      <w:r w:rsidR="5018EE13" w:rsidRPr="58B0F71D">
        <w:rPr>
          <w:rFonts w:eastAsia="Times New Roman"/>
          <w:color w:val="000000" w:themeColor="text1"/>
          <w:sz w:val="22"/>
          <w:szCs w:val="22"/>
          <w:lang w:val="en-US"/>
        </w:rPr>
        <w:t>in the network. Co-existence study for 45 GHz and 70 GHz frequency range was already done as part of NR study item, and the parameters used in the study reflect the device characteristics sufficientl</w:t>
      </w:r>
      <w:r w:rsidR="0CC84D49" w:rsidRPr="58B0F71D">
        <w:rPr>
          <w:rFonts w:eastAsia="Times New Roman"/>
          <w:color w:val="000000" w:themeColor="text1"/>
          <w:sz w:val="22"/>
          <w:szCs w:val="22"/>
          <w:lang w:val="en-US"/>
        </w:rPr>
        <w:t>y well. Therefore, we propose that no new co-existence simulation study is done, but instead the applicable ACLR and ACS performance for UEs is extracted from co-existence study results documented in TR 38.803.</w:t>
      </w:r>
    </w:p>
    <w:p w14:paraId="3E780640" w14:textId="3B5D8547" w:rsidR="001A529A" w:rsidRPr="001A529A" w:rsidDel="001A529A" w:rsidRDefault="3C3097E8" w:rsidP="58B0F71D">
      <w:pPr>
        <w:rPr>
          <w:rFonts w:eastAsia="Times New Roman"/>
          <w:color w:val="000000" w:themeColor="text1"/>
          <w:sz w:val="22"/>
          <w:szCs w:val="22"/>
          <w:lang w:val="en-US"/>
        </w:rPr>
      </w:pPr>
      <w:r w:rsidRPr="58B0F71D">
        <w:rPr>
          <w:rFonts w:eastAsia="Times New Roman"/>
          <w:b/>
          <w:bCs/>
          <w:color w:val="000000" w:themeColor="text1"/>
          <w:sz w:val="22"/>
          <w:szCs w:val="22"/>
        </w:rPr>
        <w:t xml:space="preserve">Observation </w:t>
      </w:r>
      <w:r w:rsidR="00B4172D">
        <w:rPr>
          <w:rFonts w:eastAsia="Times New Roman"/>
          <w:b/>
          <w:bCs/>
          <w:color w:val="000000" w:themeColor="text1"/>
          <w:sz w:val="22"/>
          <w:szCs w:val="22"/>
        </w:rPr>
        <w:t>4</w:t>
      </w:r>
      <w:r w:rsidRPr="58B0F71D">
        <w:rPr>
          <w:rFonts w:eastAsia="Times New Roman"/>
          <w:b/>
          <w:bCs/>
          <w:color w:val="000000" w:themeColor="text1"/>
          <w:sz w:val="22"/>
          <w:szCs w:val="22"/>
        </w:rPr>
        <w:t>: Co-existence study for this frequency range has already been documented in TR 38.803</w:t>
      </w:r>
    </w:p>
    <w:p w14:paraId="28BED354" w14:textId="5BADF682" w:rsidR="001A529A" w:rsidRPr="001A529A" w:rsidDel="001A529A" w:rsidRDefault="3C3097E8" w:rsidP="58B0F71D">
      <w:pPr>
        <w:rPr>
          <w:rFonts w:eastAsia="Times New Roman"/>
          <w:color w:val="000000" w:themeColor="text1"/>
          <w:sz w:val="22"/>
          <w:szCs w:val="22"/>
          <w:lang w:val="en-US"/>
        </w:rPr>
      </w:pPr>
      <w:r w:rsidRPr="58B0F71D">
        <w:rPr>
          <w:rFonts w:eastAsia="Times New Roman"/>
          <w:b/>
          <w:bCs/>
          <w:color w:val="000000" w:themeColor="text1"/>
          <w:sz w:val="22"/>
          <w:szCs w:val="22"/>
        </w:rPr>
        <w:t xml:space="preserve">Proposal </w:t>
      </w:r>
      <w:r w:rsidR="00B4172D">
        <w:rPr>
          <w:rFonts w:eastAsia="Times New Roman"/>
          <w:b/>
          <w:bCs/>
          <w:color w:val="000000" w:themeColor="text1"/>
          <w:sz w:val="22"/>
          <w:szCs w:val="22"/>
        </w:rPr>
        <w:t>6</w:t>
      </w:r>
      <w:r w:rsidRPr="58B0F71D">
        <w:rPr>
          <w:rFonts w:eastAsia="Times New Roman"/>
          <w:b/>
          <w:bCs/>
          <w:color w:val="000000" w:themeColor="text1"/>
          <w:sz w:val="22"/>
          <w:szCs w:val="22"/>
        </w:rPr>
        <w:t>: Extract the ACLR and ACS requirements from TR 38.803</w:t>
      </w:r>
    </w:p>
    <w:p w14:paraId="7CDDFB23" w14:textId="77777777" w:rsidR="003B2064" w:rsidRPr="003B2064" w:rsidRDefault="003B2064" w:rsidP="003B2064">
      <w:pPr>
        <w:pStyle w:val="ListParagraph"/>
        <w:tabs>
          <w:tab w:val="left" w:pos="1896"/>
        </w:tabs>
        <w:spacing w:after="0"/>
        <w:ind w:left="720" w:firstLineChars="0" w:firstLine="0"/>
        <w:rPr>
          <w:iCs/>
          <w:lang w:eastAsia="x-none"/>
        </w:rPr>
      </w:pPr>
    </w:p>
    <w:p w14:paraId="3A7886CD" w14:textId="13C0C4CA" w:rsidR="0012171E" w:rsidRPr="00B53A40" w:rsidRDefault="00065A7B" w:rsidP="005507CC">
      <w:pPr>
        <w:pStyle w:val="Heading1"/>
        <w:rPr>
          <w:lang w:val="en-US" w:eastAsia="zh-CN"/>
        </w:rPr>
      </w:pPr>
      <w:r w:rsidRPr="00B53A40">
        <w:rPr>
          <w:lang w:val="en-US" w:eastAsia="zh-CN"/>
        </w:rPr>
        <w:t>Conclusion</w:t>
      </w:r>
      <w:r w:rsidR="009E2215" w:rsidRPr="00B53A40">
        <w:rPr>
          <w:lang w:val="en-US" w:eastAsia="zh-CN"/>
        </w:rPr>
        <w:t xml:space="preserve"> </w:t>
      </w:r>
    </w:p>
    <w:p w14:paraId="065EDCEF" w14:textId="10BDA0F8" w:rsidR="009E2215" w:rsidRDefault="002A3E16" w:rsidP="009E2215">
      <w:pPr>
        <w:rPr>
          <w:lang w:val="en-US" w:eastAsia="zh-CN"/>
        </w:rPr>
      </w:pPr>
      <w:r>
        <w:rPr>
          <w:lang w:val="en-US" w:eastAsia="zh-CN"/>
        </w:rPr>
        <w:t xml:space="preserve">In this contribution UE RF aspects for NR operation above 52.6 GHz were </w:t>
      </w:r>
      <w:proofErr w:type="gramStart"/>
      <w:r>
        <w:rPr>
          <w:lang w:val="en-US" w:eastAsia="zh-CN"/>
        </w:rPr>
        <w:t>discussed</w:t>
      </w:r>
      <w:proofErr w:type="gramEnd"/>
      <w:r>
        <w:rPr>
          <w:lang w:val="en-US" w:eastAsia="zh-CN"/>
        </w:rPr>
        <w:t xml:space="preserve"> and following observations and proposal were made.</w:t>
      </w:r>
    </w:p>
    <w:p w14:paraId="39F91B08" w14:textId="40EF8A8B" w:rsidR="002A3E16" w:rsidRDefault="002A3E16" w:rsidP="002A3E16">
      <w:pPr>
        <w:rPr>
          <w:b/>
          <w:bCs/>
        </w:rPr>
      </w:pPr>
      <w:r w:rsidRPr="00491B89">
        <w:rPr>
          <w:b/>
          <w:bCs/>
        </w:rPr>
        <w:t xml:space="preserve">Observation </w:t>
      </w:r>
      <w:r>
        <w:rPr>
          <w:b/>
          <w:bCs/>
        </w:rPr>
        <w:t>1</w:t>
      </w:r>
      <w:r w:rsidRPr="00A10457">
        <w:rPr>
          <w:b/>
          <w:bCs/>
        </w:rPr>
        <w:t xml:space="preserve">: Based on our MPR (Maximum power reduction) simulations modulation quality (EVM) is often the limiting for the achievable maximum transmit for NR from 52.6 GHz to 71 GHz </w:t>
      </w:r>
    </w:p>
    <w:p w14:paraId="3FF4525D" w14:textId="77777777" w:rsidR="00B4172D" w:rsidRDefault="00B4172D" w:rsidP="00B4172D">
      <w:pPr>
        <w:rPr>
          <w:b/>
          <w:bCs/>
        </w:rPr>
      </w:pPr>
      <w:r w:rsidRPr="00B4172D">
        <w:rPr>
          <w:b/>
          <w:bCs/>
        </w:rPr>
        <w:lastRenderedPageBreak/>
        <w:t>Observation 2:</w:t>
      </w:r>
      <w:r>
        <w:rPr>
          <w:b/>
          <w:bCs/>
        </w:rPr>
        <w:t xml:space="preserve"> Implementation losses need special attention to guarantee high EIRP output and therefore good UL link budget. </w:t>
      </w:r>
    </w:p>
    <w:p w14:paraId="4662576B" w14:textId="7714492D" w:rsidR="002A3E16" w:rsidRPr="00A10457" w:rsidRDefault="002A3E16" w:rsidP="00B8274C">
      <w:pPr>
        <w:rPr>
          <w:b/>
          <w:bCs/>
        </w:rPr>
      </w:pPr>
      <w:r w:rsidRPr="58B0F71D">
        <w:rPr>
          <w:b/>
          <w:bCs/>
        </w:rPr>
        <w:t xml:space="preserve">Observation </w:t>
      </w:r>
      <w:r w:rsidR="00A25961">
        <w:rPr>
          <w:b/>
          <w:bCs/>
        </w:rPr>
        <w:t>3</w:t>
      </w:r>
      <w:r w:rsidRPr="58B0F71D">
        <w:rPr>
          <w:b/>
          <w:bCs/>
        </w:rPr>
        <w:t>: Multi-cluster allocations increase the PAPR of the signal, and in some cases causes narrow spectral peaks which easily clash with emission limits, resulting in need of higher MPR.</w:t>
      </w:r>
    </w:p>
    <w:p w14:paraId="45C07DEF" w14:textId="505CBE12" w:rsidR="002A3E16" w:rsidRPr="00B8274C" w:rsidRDefault="3CB83DE8" w:rsidP="00B8274C">
      <w:pPr>
        <w:rPr>
          <w:b/>
          <w:bCs/>
        </w:rPr>
      </w:pPr>
      <w:r w:rsidRPr="00B8274C">
        <w:rPr>
          <w:b/>
          <w:bCs/>
        </w:rPr>
        <w:t xml:space="preserve">Observation </w:t>
      </w:r>
      <w:r w:rsidR="00A25961">
        <w:rPr>
          <w:b/>
          <w:bCs/>
        </w:rPr>
        <w:t>4</w:t>
      </w:r>
      <w:r w:rsidRPr="00B8274C">
        <w:rPr>
          <w:b/>
          <w:bCs/>
        </w:rPr>
        <w:t>: Co-existence study for this frequency range has already been documented in TR 38.803</w:t>
      </w:r>
    </w:p>
    <w:p w14:paraId="42EDD351" w14:textId="77777777" w:rsidR="00B4172D" w:rsidRPr="00B4172D" w:rsidRDefault="00B4172D" w:rsidP="00B4172D">
      <w:pPr>
        <w:rPr>
          <w:b/>
          <w:bCs/>
        </w:rPr>
      </w:pPr>
      <w:r>
        <w:rPr>
          <w:b/>
          <w:bCs/>
        </w:rPr>
        <w:t>Proposal 1: RAN4 strives to keep UE implementation loss budget reasonably small for NR operation above 52.6 GHz to ensure good UL link budget.</w:t>
      </w:r>
    </w:p>
    <w:p w14:paraId="3AB1B064" w14:textId="38A1E636" w:rsidR="002A3E16" w:rsidRPr="00B8274C" w:rsidRDefault="002A3E16" w:rsidP="00B8274C">
      <w:pPr>
        <w:rPr>
          <w:b/>
          <w:bCs/>
        </w:rPr>
      </w:pPr>
      <w:r w:rsidRPr="00B8274C">
        <w:rPr>
          <w:b/>
          <w:bCs/>
        </w:rPr>
        <w:t xml:space="preserve">Proposal </w:t>
      </w:r>
      <w:r w:rsidR="00B4172D">
        <w:rPr>
          <w:b/>
          <w:bCs/>
        </w:rPr>
        <w:t>2</w:t>
      </w:r>
      <w:r w:rsidRPr="00B8274C">
        <w:rPr>
          <w:b/>
          <w:bCs/>
        </w:rPr>
        <w:t xml:space="preserve">: RAN4 to consider whether multi-cluster UL allocations are useful for above 52.6 GHz frequency range or whether contiguous allocations are </w:t>
      </w:r>
      <w:proofErr w:type="gramStart"/>
      <w:r w:rsidRPr="00B8274C">
        <w:rPr>
          <w:b/>
          <w:bCs/>
        </w:rPr>
        <w:t>sufficient</w:t>
      </w:r>
      <w:proofErr w:type="gramEnd"/>
      <w:r w:rsidRPr="00B8274C">
        <w:rPr>
          <w:b/>
          <w:bCs/>
        </w:rPr>
        <w:t>.</w:t>
      </w:r>
    </w:p>
    <w:p w14:paraId="636E418F" w14:textId="22E4BA47" w:rsidR="002A3E16" w:rsidRPr="00B8274C" w:rsidRDefault="002A3E16" w:rsidP="00B8274C">
      <w:pPr>
        <w:rPr>
          <w:b/>
          <w:bCs/>
        </w:rPr>
      </w:pPr>
      <w:r w:rsidRPr="00B8274C">
        <w:rPr>
          <w:b/>
          <w:bCs/>
        </w:rPr>
        <w:t xml:space="preserve">Proposal </w:t>
      </w:r>
      <w:r w:rsidR="00B4172D">
        <w:rPr>
          <w:b/>
          <w:bCs/>
        </w:rPr>
        <w:t>3</w:t>
      </w:r>
      <w:r w:rsidRPr="00B8274C">
        <w:rPr>
          <w:b/>
          <w:bCs/>
        </w:rPr>
        <w:t>: Almost contiguous allocations shall be specified for above 52.6 GHz operation as the MPR impact is smaller than for multi-cluster allocations.</w:t>
      </w:r>
    </w:p>
    <w:p w14:paraId="04548461" w14:textId="734CA343" w:rsidR="002A3E16" w:rsidRPr="00B8274C" w:rsidRDefault="002A3E16" w:rsidP="00B8274C">
      <w:pPr>
        <w:rPr>
          <w:b/>
          <w:bCs/>
        </w:rPr>
      </w:pPr>
      <w:r w:rsidRPr="00B8274C">
        <w:rPr>
          <w:b/>
          <w:bCs/>
        </w:rPr>
        <w:t xml:space="preserve">Proposal </w:t>
      </w:r>
      <w:r w:rsidR="00B4172D">
        <w:rPr>
          <w:b/>
          <w:bCs/>
        </w:rPr>
        <w:t>4</w:t>
      </w:r>
      <w:r w:rsidRPr="00B8274C">
        <w:rPr>
          <w:b/>
          <w:bCs/>
        </w:rPr>
        <w:t>: Evaluate and update On-Off transient times for NR operation above 52.6 GHz.</w:t>
      </w:r>
    </w:p>
    <w:p w14:paraId="7705A310" w14:textId="12661286" w:rsidR="002A3E16" w:rsidRPr="00B8274C" w:rsidRDefault="002A3E16" w:rsidP="58B0F71D">
      <w:pPr>
        <w:rPr>
          <w:b/>
          <w:bCs/>
        </w:rPr>
      </w:pPr>
      <w:r w:rsidRPr="00B8274C">
        <w:rPr>
          <w:b/>
          <w:bCs/>
        </w:rPr>
        <w:t xml:space="preserve">Proposal </w:t>
      </w:r>
      <w:r w:rsidR="00B4172D">
        <w:rPr>
          <w:b/>
          <w:bCs/>
        </w:rPr>
        <w:t>5</w:t>
      </w:r>
      <w:r w:rsidRPr="00B8274C">
        <w:rPr>
          <w:b/>
          <w:bCs/>
        </w:rPr>
        <w:t>: RAN4 to evaluate what are reasonable measurement bandwidths to be used above 52.6 GHz.</w:t>
      </w:r>
    </w:p>
    <w:p w14:paraId="67991539" w14:textId="12529517" w:rsidR="002A3E16" w:rsidRPr="00B8274C" w:rsidRDefault="53EB1BD4" w:rsidP="58B0F71D">
      <w:pPr>
        <w:rPr>
          <w:b/>
          <w:bCs/>
        </w:rPr>
      </w:pPr>
      <w:r w:rsidRPr="00B8274C">
        <w:rPr>
          <w:b/>
          <w:bCs/>
        </w:rPr>
        <w:t xml:space="preserve">Proposal </w:t>
      </w:r>
      <w:r w:rsidR="00B4172D">
        <w:rPr>
          <w:b/>
          <w:bCs/>
        </w:rPr>
        <w:t>6</w:t>
      </w:r>
      <w:r w:rsidRPr="00B8274C">
        <w:rPr>
          <w:b/>
          <w:bCs/>
        </w:rPr>
        <w:t>: Extract the ACLR and ACS requirements from TR 38.803</w:t>
      </w:r>
    </w:p>
    <w:p w14:paraId="484E4384" w14:textId="51028002" w:rsidR="00656EE7" w:rsidRPr="00B53A40" w:rsidRDefault="00065A7B" w:rsidP="00065A7B">
      <w:pPr>
        <w:pStyle w:val="Heading1"/>
        <w:numPr>
          <w:ilvl w:val="0"/>
          <w:numId w:val="0"/>
        </w:numPr>
        <w:rPr>
          <w:lang w:val="en-US" w:eastAsia="ja-JP"/>
        </w:rPr>
      </w:pPr>
      <w:r w:rsidRPr="00B53A40">
        <w:rPr>
          <w:lang w:val="en-US" w:eastAsia="ja-JP"/>
        </w:rPr>
        <w:t>References</w:t>
      </w:r>
      <w:r w:rsidR="00904574" w:rsidRPr="00B53A40">
        <w:rPr>
          <w:lang w:val="en-US" w:eastAsia="ja-JP"/>
        </w:rPr>
        <w:t xml:space="preserve"> </w:t>
      </w:r>
    </w:p>
    <w:p w14:paraId="39AB2686" w14:textId="77777777" w:rsidR="00E74969" w:rsidRPr="00B53A40" w:rsidRDefault="00E74969" w:rsidP="00E74969">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3" w:name="_Ref31097917"/>
      <w:bookmarkStart w:id="4" w:name="_Ref31097847"/>
      <w:r w:rsidRPr="00B53A40">
        <w:rPr>
          <w:lang w:val="en-US"/>
        </w:rPr>
        <w:t>RP-193259, “</w:t>
      </w:r>
      <w:r w:rsidRPr="00B53A40">
        <w:rPr>
          <w:i/>
          <w:lang w:val="en-US"/>
        </w:rPr>
        <w:t>New SID: Study on supporting NR from 52.6GHz to 71 GHz</w:t>
      </w:r>
      <w:r w:rsidRPr="00B53A40">
        <w:rPr>
          <w:lang w:val="en-US"/>
        </w:rPr>
        <w:t>”, Intel Corporation</w:t>
      </w:r>
      <w:bookmarkEnd w:id="3"/>
    </w:p>
    <w:p w14:paraId="16A7BF35" w14:textId="12C22F61" w:rsidR="00AE643D" w:rsidRPr="00AE643D" w:rsidRDefault="00E74969" w:rsidP="00AE643D">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5" w:name="_Ref31097951"/>
      <w:r w:rsidRPr="00B53A40">
        <w:rPr>
          <w:lang w:val="en-US"/>
        </w:rPr>
        <w:t>TR 38.807, “</w:t>
      </w:r>
      <w:r w:rsidRPr="00B53A40">
        <w:rPr>
          <w:i/>
          <w:iCs/>
          <w:lang w:val="en-US"/>
        </w:rPr>
        <w:t>Study on requirements for NR beyond 52.6 GHz</w:t>
      </w:r>
      <w:r w:rsidRPr="00B53A40">
        <w:rPr>
          <w:lang w:val="en-US"/>
        </w:rPr>
        <w:t>”, 3GPP</w:t>
      </w:r>
      <w:bookmarkEnd w:id="4"/>
      <w:bookmarkEnd w:id="5"/>
    </w:p>
    <w:p w14:paraId="67F5A6DD" w14:textId="200A0FA7" w:rsidR="00065A7B" w:rsidRDefault="003E2003" w:rsidP="00B53A40">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6" w:name="_Ref53500542"/>
      <w:r>
        <w:rPr>
          <w:lang w:val="en-US"/>
        </w:rPr>
        <w:t>R4-2011838, “</w:t>
      </w:r>
      <w:r w:rsidRPr="00AF2126">
        <w:rPr>
          <w:i/>
          <w:iCs/>
          <w:lang w:val="en-US"/>
        </w:rPr>
        <w:t>WF on numerologies for FS_NR_52_to_71GHz</w:t>
      </w:r>
      <w:r>
        <w:rPr>
          <w:lang w:val="en-US"/>
        </w:rPr>
        <w:t>”, Intel Corporation</w:t>
      </w:r>
      <w:bookmarkEnd w:id="6"/>
    </w:p>
    <w:p w14:paraId="3D072F51" w14:textId="0ABE3326" w:rsidR="00F96BD9" w:rsidRDefault="00F96BD9" w:rsidP="00B53A40">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7" w:name="_Ref53573861"/>
      <w:r>
        <w:rPr>
          <w:lang w:val="en-US"/>
        </w:rPr>
        <w:t>R4-20</w:t>
      </w:r>
      <w:r w:rsidR="00A25961">
        <w:rPr>
          <w:lang w:val="en-US"/>
        </w:rPr>
        <w:t>15443</w:t>
      </w:r>
      <w:r>
        <w:rPr>
          <w:lang w:val="en-US"/>
        </w:rPr>
        <w:t>, “</w:t>
      </w:r>
      <w:r w:rsidR="00A25961" w:rsidRPr="00AF2126">
        <w:rPr>
          <w:i/>
          <w:iCs/>
          <w:lang w:val="en-US"/>
        </w:rPr>
        <w:t>Draft LS: Phase noise and RF impairment considerations</w:t>
      </w:r>
      <w:r>
        <w:rPr>
          <w:lang w:val="en-US"/>
        </w:rPr>
        <w:t xml:space="preserve">”, Nokia, </w:t>
      </w:r>
      <w:bookmarkEnd w:id="7"/>
      <w:r w:rsidR="00A25961">
        <w:rPr>
          <w:lang w:val="en-US"/>
        </w:rPr>
        <w:t>Nokia Shanghai Bell</w:t>
      </w:r>
    </w:p>
    <w:p w14:paraId="4754DAC3" w14:textId="77777777" w:rsidR="005E6457" w:rsidRPr="00EA3936" w:rsidRDefault="005E6457" w:rsidP="005E6457">
      <w:pPr>
        <w:pStyle w:val="ListParagraph"/>
        <w:numPr>
          <w:ilvl w:val="0"/>
          <w:numId w:val="19"/>
        </w:numPr>
        <w:overflowPunct/>
        <w:autoSpaceDE/>
        <w:autoSpaceDN/>
        <w:adjustRightInd/>
        <w:spacing w:after="0" w:line="259" w:lineRule="auto"/>
        <w:ind w:firstLineChars="0"/>
        <w:contextualSpacing/>
        <w:textAlignment w:val="auto"/>
      </w:pPr>
      <w:bookmarkStart w:id="8" w:name="_Ref53572684"/>
      <w:r w:rsidRPr="00EA3936">
        <w:t>R1-2003813, “</w:t>
      </w:r>
      <w:r w:rsidRPr="00EA3936">
        <w:rPr>
          <w:i/>
        </w:rPr>
        <w:t>Performance of existing DL NR waveform at beyond 52.6 GHz</w:t>
      </w:r>
      <w:r w:rsidRPr="00EA3936">
        <w:t>”, Nokia, Nokia Shanghai Bell.</w:t>
      </w:r>
      <w:bookmarkEnd w:id="8"/>
    </w:p>
    <w:p w14:paraId="2930B022" w14:textId="75735B61" w:rsidR="003E2003" w:rsidRPr="00AF2126" w:rsidRDefault="001A529A" w:rsidP="00B53A40">
      <w:pPr>
        <w:pStyle w:val="ListParagraph"/>
        <w:numPr>
          <w:ilvl w:val="0"/>
          <w:numId w:val="19"/>
        </w:numPr>
        <w:overflowPunct/>
        <w:autoSpaceDE/>
        <w:autoSpaceDN/>
        <w:adjustRightInd/>
        <w:spacing w:after="0" w:line="259" w:lineRule="auto"/>
        <w:ind w:firstLineChars="0"/>
        <w:contextualSpacing/>
        <w:textAlignment w:val="auto"/>
        <w:rPr>
          <w:lang w:val="en-US"/>
        </w:rPr>
      </w:pPr>
      <w:r w:rsidRPr="00AF2126">
        <w:rPr>
          <w:lang w:val="en-US"/>
        </w:rPr>
        <w:t>R4-20</w:t>
      </w:r>
      <w:r w:rsidR="00AF2126">
        <w:rPr>
          <w:lang w:val="en-US"/>
        </w:rPr>
        <w:t>1</w:t>
      </w:r>
      <w:r w:rsidR="00BE1692">
        <w:rPr>
          <w:lang w:val="en-US"/>
        </w:rPr>
        <w:t>6000</w:t>
      </w:r>
      <w:r w:rsidRPr="00AF2126">
        <w:rPr>
          <w:lang w:val="en-US"/>
        </w:rPr>
        <w:t>, “</w:t>
      </w:r>
      <w:r w:rsidR="00AF2126" w:rsidRPr="00AF2126">
        <w:rPr>
          <w:i/>
          <w:iCs/>
          <w:color w:val="312E25"/>
          <w:lang w:eastAsia="da-DK"/>
        </w:rPr>
        <w:t>TP to TR 38.808: Timing considerations for operation between 52.6 and 71 GHz</w:t>
      </w:r>
      <w:r w:rsidR="00AF2126" w:rsidRPr="00AF2126">
        <w:rPr>
          <w:sz w:val="22"/>
          <w:szCs w:val="22"/>
          <w:lang w:val="en-US"/>
        </w:rPr>
        <w:t xml:space="preserve"> </w:t>
      </w:r>
      <w:r w:rsidRPr="00AF2126">
        <w:rPr>
          <w:lang w:val="en-US"/>
        </w:rPr>
        <w:t>“, Nokia, Nokia Shanghai Bell</w:t>
      </w:r>
    </w:p>
    <w:p w14:paraId="4E489387" w14:textId="4C81FA5B" w:rsidR="001A529A" w:rsidRPr="00A25961" w:rsidRDefault="001A529A" w:rsidP="001A529A">
      <w:pPr>
        <w:pStyle w:val="ListParagraph"/>
        <w:numPr>
          <w:ilvl w:val="0"/>
          <w:numId w:val="19"/>
        </w:numPr>
        <w:overflowPunct/>
        <w:autoSpaceDE/>
        <w:autoSpaceDN/>
        <w:adjustRightInd/>
        <w:spacing w:after="0" w:line="259" w:lineRule="auto"/>
        <w:ind w:firstLineChars="0"/>
        <w:contextualSpacing/>
        <w:textAlignment w:val="auto"/>
        <w:rPr>
          <w:lang w:val="en-US"/>
        </w:rPr>
      </w:pPr>
      <w:r w:rsidRPr="00A25961">
        <w:rPr>
          <w:lang w:val="en-US"/>
        </w:rPr>
        <w:t>R4-20</w:t>
      </w:r>
      <w:r w:rsidR="00A25961" w:rsidRPr="00A25961">
        <w:rPr>
          <w:lang w:val="en-US"/>
        </w:rPr>
        <w:t>15200</w:t>
      </w:r>
      <w:r w:rsidRPr="00A25961">
        <w:rPr>
          <w:lang w:val="en-US"/>
        </w:rPr>
        <w:t>, “</w:t>
      </w:r>
      <w:r w:rsidR="00A25961" w:rsidRPr="00AF2126">
        <w:rPr>
          <w:i/>
          <w:iCs/>
          <w:lang w:val="en-US"/>
        </w:rPr>
        <w:t xml:space="preserve">TP to TR 38.808 BS RF for NR beyond 52.6 </w:t>
      </w:r>
      <w:proofErr w:type="gramStart"/>
      <w:r w:rsidR="00A25961" w:rsidRPr="00AF2126">
        <w:rPr>
          <w:i/>
          <w:iCs/>
          <w:lang w:val="en-US"/>
        </w:rPr>
        <w:t>GHz</w:t>
      </w:r>
      <w:r w:rsidRPr="00A25961">
        <w:rPr>
          <w:lang w:val="en-US"/>
        </w:rPr>
        <w:t>“</w:t>
      </w:r>
      <w:proofErr w:type="gramEnd"/>
      <w:r w:rsidRPr="00A25961">
        <w:rPr>
          <w:lang w:val="en-US"/>
        </w:rPr>
        <w:t>, Nokia, Nokia Shanghai Bell</w:t>
      </w:r>
    </w:p>
    <w:p w14:paraId="6B530BBA" w14:textId="77777777" w:rsidR="001A529A" w:rsidRPr="00B8274C" w:rsidRDefault="001A529A" w:rsidP="00B8274C">
      <w:pPr>
        <w:pStyle w:val="ListParagraph"/>
        <w:overflowPunct/>
        <w:autoSpaceDE/>
        <w:autoSpaceDN/>
        <w:adjustRightInd/>
        <w:spacing w:after="0" w:line="259" w:lineRule="auto"/>
        <w:ind w:left="360" w:firstLineChars="0" w:firstLine="0"/>
        <w:contextualSpacing/>
        <w:textAlignment w:val="auto"/>
        <w:rPr>
          <w:highlight w:val="yellow"/>
          <w:lang w:val="en-US"/>
        </w:rPr>
      </w:pPr>
    </w:p>
    <w:p w14:paraId="2200408F" w14:textId="77777777" w:rsidR="005507CC" w:rsidRPr="00B53A40" w:rsidRDefault="005507CC" w:rsidP="00B77B0C">
      <w:pPr>
        <w:spacing w:after="0" w:line="259" w:lineRule="auto"/>
        <w:contextualSpacing/>
        <w:rPr>
          <w:lang w:val="en-US"/>
        </w:rPr>
      </w:pPr>
      <w:bookmarkStart w:id="9" w:name="_GoBack"/>
      <w:bookmarkEnd w:id="9"/>
    </w:p>
    <w:sectPr w:rsidR="005507CC" w:rsidRPr="00B53A40">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pgMar w:top="1133" w:right="1133" w:bottom="1416" w:left="1133" w:header="850" w:footer="340" w:gutter="0"/>
      <w:cols w:space="720"/>
      <w:formProt w:val="0"/>
      <w:docGrid w:type="lines"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819E4FA" w16cex:dateUtc="2020-10-21T07:53:00Z"/>
  <w16cex:commentExtensible w16cex:durableId="63C8FBD0" w16cex:dateUtc="2020-10-21T07:55:00Z"/>
  <w16cex:commentExtensible w16cex:durableId="241A8BB7" w16cex:dateUtc="2020-10-21T08:51:07.938Z"/>
  <w16cex:commentExtensible w16cex:durableId="4CD6506C" w16cex:dateUtc="2020-10-21T08:52:01.529Z"/>
  <w16cex:commentExtensible w16cex:durableId="1EEFE97B" w16cex:dateUtc="2020-10-21T16:17:59.521Z"/>
  <w16cex:commentExtensible w16cex:durableId="52F1A3A0" w16cex:dateUtc="2020-10-21T16:19:38.118Z"/>
  <w16cex:commentExtensible w16cex:durableId="340FA3D8" w16cex:dateUtc="2020-10-21T16:19:50.015Z"/>
  <w16cex:commentExtensible w16cex:durableId="0CF5FAD9" w16cex:dateUtc="2020-10-21T16:20:09.0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DF152" w14:textId="77777777" w:rsidR="003E3F0F" w:rsidRDefault="003E3F0F" w:rsidP="001E365C">
      <w:pPr>
        <w:spacing w:after="0"/>
      </w:pPr>
      <w:r>
        <w:separator/>
      </w:r>
    </w:p>
  </w:endnote>
  <w:endnote w:type="continuationSeparator" w:id="0">
    <w:p w14:paraId="605EBBC4" w14:textId="77777777" w:rsidR="003E3F0F" w:rsidRDefault="003E3F0F" w:rsidP="001E365C">
      <w:pPr>
        <w:spacing w:after="0"/>
      </w:pPr>
      <w:r>
        <w:continuationSeparator/>
      </w:r>
    </w:p>
  </w:endnote>
  <w:endnote w:type="continuationNotice" w:id="1">
    <w:p w14:paraId="5EC66E98" w14:textId="77777777" w:rsidR="003E3F0F" w:rsidRDefault="003E3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EB56E9" w:rsidRDefault="00EB5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EB56E9" w:rsidRDefault="00EB56E9">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EB56E9" w:rsidRPr="002C23F3" w:rsidRDefault="00EB56E9"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EB56E9" w:rsidRPr="002C23F3" w:rsidRDefault="00EB56E9"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EB56E9" w:rsidRDefault="00EB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57D3B" w14:textId="77777777" w:rsidR="003E3F0F" w:rsidRDefault="003E3F0F" w:rsidP="001E365C">
      <w:pPr>
        <w:spacing w:after="0"/>
      </w:pPr>
      <w:r>
        <w:separator/>
      </w:r>
    </w:p>
  </w:footnote>
  <w:footnote w:type="continuationSeparator" w:id="0">
    <w:p w14:paraId="66775CB0" w14:textId="77777777" w:rsidR="003E3F0F" w:rsidRDefault="003E3F0F" w:rsidP="001E365C">
      <w:pPr>
        <w:spacing w:after="0"/>
      </w:pPr>
      <w:r>
        <w:continuationSeparator/>
      </w:r>
    </w:p>
  </w:footnote>
  <w:footnote w:type="continuationNotice" w:id="1">
    <w:p w14:paraId="02722A3C" w14:textId="77777777" w:rsidR="003E3F0F" w:rsidRDefault="003E3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EB56E9" w:rsidRDefault="00EB56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EB56E9" w:rsidRDefault="00EB5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EB56E9" w:rsidRDefault="00EB5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22B89"/>
    <w:multiLevelType w:val="hybridMultilevel"/>
    <w:tmpl w:val="C28AB46C"/>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537C6"/>
    <w:multiLevelType w:val="hybridMultilevel"/>
    <w:tmpl w:val="D2128296"/>
    <w:lvl w:ilvl="0" w:tplc="4F560E70">
      <w:start w:val="1"/>
      <w:numFmt w:val="bullet"/>
      <w:lvlText w:val="•"/>
      <w:lvlJc w:val="left"/>
      <w:pPr>
        <w:tabs>
          <w:tab w:val="num" w:pos="720"/>
        </w:tabs>
        <w:ind w:left="720" w:hanging="360"/>
      </w:pPr>
      <w:rPr>
        <w:rFonts w:ascii="Arial" w:hAnsi="Arial" w:hint="default"/>
      </w:rPr>
    </w:lvl>
    <w:lvl w:ilvl="1" w:tplc="218EB68A" w:tentative="1">
      <w:start w:val="1"/>
      <w:numFmt w:val="bullet"/>
      <w:lvlText w:val="•"/>
      <w:lvlJc w:val="left"/>
      <w:pPr>
        <w:tabs>
          <w:tab w:val="num" w:pos="1440"/>
        </w:tabs>
        <w:ind w:left="1440" w:hanging="360"/>
      </w:pPr>
      <w:rPr>
        <w:rFonts w:ascii="Arial" w:hAnsi="Arial" w:hint="default"/>
      </w:rPr>
    </w:lvl>
    <w:lvl w:ilvl="2" w:tplc="748A6D38" w:tentative="1">
      <w:start w:val="1"/>
      <w:numFmt w:val="bullet"/>
      <w:lvlText w:val="•"/>
      <w:lvlJc w:val="left"/>
      <w:pPr>
        <w:tabs>
          <w:tab w:val="num" w:pos="2160"/>
        </w:tabs>
        <w:ind w:left="2160" w:hanging="360"/>
      </w:pPr>
      <w:rPr>
        <w:rFonts w:ascii="Arial" w:hAnsi="Arial" w:hint="default"/>
      </w:rPr>
    </w:lvl>
    <w:lvl w:ilvl="3" w:tplc="5DEA7524" w:tentative="1">
      <w:start w:val="1"/>
      <w:numFmt w:val="bullet"/>
      <w:lvlText w:val="•"/>
      <w:lvlJc w:val="left"/>
      <w:pPr>
        <w:tabs>
          <w:tab w:val="num" w:pos="2880"/>
        </w:tabs>
        <w:ind w:left="2880" w:hanging="360"/>
      </w:pPr>
      <w:rPr>
        <w:rFonts w:ascii="Arial" w:hAnsi="Arial" w:hint="default"/>
      </w:rPr>
    </w:lvl>
    <w:lvl w:ilvl="4" w:tplc="5BD0CF66" w:tentative="1">
      <w:start w:val="1"/>
      <w:numFmt w:val="bullet"/>
      <w:lvlText w:val="•"/>
      <w:lvlJc w:val="left"/>
      <w:pPr>
        <w:tabs>
          <w:tab w:val="num" w:pos="3600"/>
        </w:tabs>
        <w:ind w:left="3600" w:hanging="360"/>
      </w:pPr>
      <w:rPr>
        <w:rFonts w:ascii="Arial" w:hAnsi="Arial" w:hint="default"/>
      </w:rPr>
    </w:lvl>
    <w:lvl w:ilvl="5" w:tplc="FEDAB4B4" w:tentative="1">
      <w:start w:val="1"/>
      <w:numFmt w:val="bullet"/>
      <w:lvlText w:val="•"/>
      <w:lvlJc w:val="left"/>
      <w:pPr>
        <w:tabs>
          <w:tab w:val="num" w:pos="4320"/>
        </w:tabs>
        <w:ind w:left="4320" w:hanging="360"/>
      </w:pPr>
      <w:rPr>
        <w:rFonts w:ascii="Arial" w:hAnsi="Arial" w:hint="default"/>
      </w:rPr>
    </w:lvl>
    <w:lvl w:ilvl="6" w:tplc="D39A79AC" w:tentative="1">
      <w:start w:val="1"/>
      <w:numFmt w:val="bullet"/>
      <w:lvlText w:val="•"/>
      <w:lvlJc w:val="left"/>
      <w:pPr>
        <w:tabs>
          <w:tab w:val="num" w:pos="5040"/>
        </w:tabs>
        <w:ind w:left="5040" w:hanging="360"/>
      </w:pPr>
      <w:rPr>
        <w:rFonts w:ascii="Arial" w:hAnsi="Arial" w:hint="default"/>
      </w:rPr>
    </w:lvl>
    <w:lvl w:ilvl="7" w:tplc="3FFAA480" w:tentative="1">
      <w:start w:val="1"/>
      <w:numFmt w:val="bullet"/>
      <w:lvlText w:val="•"/>
      <w:lvlJc w:val="left"/>
      <w:pPr>
        <w:tabs>
          <w:tab w:val="num" w:pos="5760"/>
        </w:tabs>
        <w:ind w:left="5760" w:hanging="360"/>
      </w:pPr>
      <w:rPr>
        <w:rFonts w:ascii="Arial" w:hAnsi="Arial" w:hint="default"/>
      </w:rPr>
    </w:lvl>
    <w:lvl w:ilvl="8" w:tplc="597C4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2D03A54"/>
    <w:multiLevelType w:val="hybridMultilevel"/>
    <w:tmpl w:val="22D03A54"/>
    <w:lvl w:ilvl="0" w:tplc="DAA231D8">
      <w:start w:val="1"/>
      <w:numFmt w:val="bullet"/>
      <w:lvlText w:val=""/>
      <w:lvlJc w:val="left"/>
      <w:pPr>
        <w:ind w:left="720" w:hanging="360"/>
      </w:pPr>
      <w:rPr>
        <w:rFonts w:ascii="Symbol" w:hAnsi="Symbol" w:hint="default"/>
      </w:rPr>
    </w:lvl>
    <w:lvl w:ilvl="1" w:tplc="BB4A809C">
      <w:start w:val="1"/>
      <w:numFmt w:val="bullet"/>
      <w:lvlText w:val="o"/>
      <w:lvlJc w:val="left"/>
      <w:pPr>
        <w:ind w:left="1440" w:hanging="360"/>
      </w:pPr>
      <w:rPr>
        <w:rFonts w:ascii="Courier New" w:hAnsi="Courier New" w:cs="Courier New" w:hint="default"/>
      </w:rPr>
    </w:lvl>
    <w:lvl w:ilvl="2" w:tplc="75CE05BA">
      <w:start w:val="1"/>
      <w:numFmt w:val="bullet"/>
      <w:lvlText w:val=""/>
      <w:lvlJc w:val="left"/>
      <w:pPr>
        <w:ind w:left="2160" w:hanging="360"/>
      </w:pPr>
      <w:rPr>
        <w:rFonts w:ascii="Wingdings" w:hAnsi="Wingdings" w:hint="default"/>
      </w:rPr>
    </w:lvl>
    <w:lvl w:ilvl="3" w:tplc="00D67858">
      <w:start w:val="1"/>
      <w:numFmt w:val="bullet"/>
      <w:lvlText w:val=""/>
      <w:lvlJc w:val="left"/>
      <w:pPr>
        <w:ind w:left="2880" w:hanging="360"/>
      </w:pPr>
      <w:rPr>
        <w:rFonts w:ascii="Symbol" w:hAnsi="Symbol" w:hint="default"/>
      </w:rPr>
    </w:lvl>
    <w:lvl w:ilvl="4" w:tplc="575281C4">
      <w:start w:val="1"/>
      <w:numFmt w:val="bullet"/>
      <w:lvlText w:val="o"/>
      <w:lvlJc w:val="left"/>
      <w:pPr>
        <w:ind w:left="3600" w:hanging="360"/>
      </w:pPr>
      <w:rPr>
        <w:rFonts w:ascii="Courier New" w:hAnsi="Courier New" w:cs="Courier New" w:hint="default"/>
      </w:rPr>
    </w:lvl>
    <w:lvl w:ilvl="5" w:tplc="A65C935E">
      <w:start w:val="1"/>
      <w:numFmt w:val="bullet"/>
      <w:lvlText w:val=""/>
      <w:lvlJc w:val="left"/>
      <w:pPr>
        <w:ind w:left="4320" w:hanging="360"/>
      </w:pPr>
      <w:rPr>
        <w:rFonts w:ascii="Wingdings" w:hAnsi="Wingdings" w:hint="default"/>
      </w:rPr>
    </w:lvl>
    <w:lvl w:ilvl="6" w:tplc="11FC36A6">
      <w:start w:val="1"/>
      <w:numFmt w:val="bullet"/>
      <w:lvlText w:val=""/>
      <w:lvlJc w:val="left"/>
      <w:pPr>
        <w:ind w:left="5040" w:hanging="360"/>
      </w:pPr>
      <w:rPr>
        <w:rFonts w:ascii="Symbol" w:hAnsi="Symbol" w:hint="default"/>
      </w:rPr>
    </w:lvl>
    <w:lvl w:ilvl="7" w:tplc="078AAB04">
      <w:start w:val="1"/>
      <w:numFmt w:val="bullet"/>
      <w:lvlText w:val="o"/>
      <w:lvlJc w:val="left"/>
      <w:pPr>
        <w:ind w:left="5760" w:hanging="360"/>
      </w:pPr>
      <w:rPr>
        <w:rFonts w:ascii="Courier New" w:hAnsi="Courier New" w:cs="Courier New" w:hint="default"/>
      </w:rPr>
    </w:lvl>
    <w:lvl w:ilvl="8" w:tplc="37947444">
      <w:start w:val="1"/>
      <w:numFmt w:val="bullet"/>
      <w:lvlText w:val=""/>
      <w:lvlJc w:val="left"/>
      <w:pPr>
        <w:ind w:left="6480" w:hanging="360"/>
      </w:pPr>
      <w:rPr>
        <w:rFonts w:ascii="Wingdings" w:hAnsi="Wingdings" w:hint="default"/>
      </w:rPr>
    </w:lvl>
  </w:abstractNum>
  <w:abstractNum w:abstractNumId="8"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F9113A9"/>
    <w:multiLevelType w:val="hybridMultilevel"/>
    <w:tmpl w:val="C5F86D16"/>
    <w:lvl w:ilvl="0" w:tplc="2B54AC5C">
      <w:start w:val="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982D77"/>
    <w:multiLevelType w:val="multilevel"/>
    <w:tmpl w:val="31A26D5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AD37A3D"/>
    <w:multiLevelType w:val="multilevel"/>
    <w:tmpl w:val="B0FE77B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3" w15:restartNumberingAfterBreak="0">
    <w:nsid w:val="49E87D76"/>
    <w:multiLevelType w:val="hybridMultilevel"/>
    <w:tmpl w:val="90EAD7AC"/>
    <w:lvl w:ilvl="0" w:tplc="39EC5F12">
      <w:start w:val="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A770EBB"/>
    <w:multiLevelType w:val="hybridMultilevel"/>
    <w:tmpl w:val="4A770EBB"/>
    <w:lvl w:ilvl="0" w:tplc="E0A0E8D4">
      <w:start w:val="1"/>
      <w:numFmt w:val="decimal"/>
      <w:lvlText w:val="%1)"/>
      <w:lvlJc w:val="left"/>
      <w:pPr>
        <w:ind w:left="360" w:hanging="360"/>
      </w:pPr>
      <w:rPr>
        <w:rFonts w:hint="default"/>
      </w:rPr>
    </w:lvl>
    <w:lvl w:ilvl="1" w:tplc="C0B0CB10">
      <w:start w:val="1"/>
      <w:numFmt w:val="lowerLetter"/>
      <w:lvlText w:val="%2)"/>
      <w:lvlJc w:val="left"/>
      <w:pPr>
        <w:ind w:left="840" w:hanging="420"/>
      </w:pPr>
    </w:lvl>
    <w:lvl w:ilvl="2" w:tplc="98E4D520">
      <w:start w:val="1"/>
      <w:numFmt w:val="lowerRoman"/>
      <w:lvlText w:val="%3."/>
      <w:lvlJc w:val="right"/>
      <w:pPr>
        <w:ind w:left="1260" w:hanging="420"/>
      </w:pPr>
    </w:lvl>
    <w:lvl w:ilvl="3" w:tplc="EDCA162E">
      <w:start w:val="1"/>
      <w:numFmt w:val="decimal"/>
      <w:lvlText w:val="%4."/>
      <w:lvlJc w:val="left"/>
      <w:pPr>
        <w:ind w:left="1680" w:hanging="420"/>
      </w:pPr>
    </w:lvl>
    <w:lvl w:ilvl="4" w:tplc="471ED254">
      <w:start w:val="1"/>
      <w:numFmt w:val="lowerLetter"/>
      <w:lvlText w:val="%5)"/>
      <w:lvlJc w:val="left"/>
      <w:pPr>
        <w:ind w:left="2100" w:hanging="420"/>
      </w:pPr>
    </w:lvl>
    <w:lvl w:ilvl="5" w:tplc="6622B578">
      <w:start w:val="1"/>
      <w:numFmt w:val="lowerRoman"/>
      <w:lvlText w:val="%6."/>
      <w:lvlJc w:val="right"/>
      <w:pPr>
        <w:ind w:left="2520" w:hanging="420"/>
      </w:pPr>
    </w:lvl>
    <w:lvl w:ilvl="6" w:tplc="60669AF0">
      <w:start w:val="1"/>
      <w:numFmt w:val="decimal"/>
      <w:lvlText w:val="%7."/>
      <w:lvlJc w:val="left"/>
      <w:pPr>
        <w:ind w:left="2940" w:hanging="420"/>
      </w:pPr>
    </w:lvl>
    <w:lvl w:ilvl="7" w:tplc="99665B18">
      <w:start w:val="1"/>
      <w:numFmt w:val="lowerLetter"/>
      <w:lvlText w:val="%8)"/>
      <w:lvlJc w:val="left"/>
      <w:pPr>
        <w:ind w:left="3360" w:hanging="420"/>
      </w:pPr>
    </w:lvl>
    <w:lvl w:ilvl="8" w:tplc="3AAAF0CA">
      <w:start w:val="1"/>
      <w:numFmt w:val="lowerRoman"/>
      <w:lvlText w:val="%9."/>
      <w:lvlJc w:val="right"/>
      <w:pPr>
        <w:ind w:left="3780" w:hanging="420"/>
      </w:pPr>
    </w:lvl>
  </w:abstractNum>
  <w:abstractNum w:abstractNumId="15"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EDF6DBD"/>
    <w:multiLevelType w:val="hybridMultilevel"/>
    <w:tmpl w:val="5EDF6DBD"/>
    <w:lvl w:ilvl="0" w:tplc="7C86AE4A">
      <w:start w:val="4"/>
      <w:numFmt w:val="bullet"/>
      <w:lvlText w:val="-"/>
      <w:lvlJc w:val="left"/>
      <w:pPr>
        <w:ind w:left="720" w:hanging="360"/>
      </w:pPr>
      <w:rPr>
        <w:rFonts w:ascii="Times New Roman" w:eastAsia="Times New Roman" w:hAnsi="Times New Roman" w:cs="Times New Roman" w:hint="default"/>
      </w:rPr>
    </w:lvl>
    <w:lvl w:ilvl="1" w:tplc="E2BCE2D4">
      <w:start w:val="1"/>
      <w:numFmt w:val="bullet"/>
      <w:lvlText w:val="o"/>
      <w:lvlJc w:val="left"/>
      <w:pPr>
        <w:ind w:left="1440" w:hanging="360"/>
      </w:pPr>
      <w:rPr>
        <w:rFonts w:ascii="Courier New" w:hAnsi="Courier New" w:cs="Courier New" w:hint="default"/>
      </w:rPr>
    </w:lvl>
    <w:lvl w:ilvl="2" w:tplc="A5B82068">
      <w:start w:val="1"/>
      <w:numFmt w:val="bullet"/>
      <w:lvlText w:val=""/>
      <w:lvlJc w:val="left"/>
      <w:pPr>
        <w:ind w:left="2160" w:hanging="360"/>
      </w:pPr>
      <w:rPr>
        <w:rFonts w:ascii="Wingdings" w:hAnsi="Wingdings" w:hint="default"/>
      </w:rPr>
    </w:lvl>
    <w:lvl w:ilvl="3" w:tplc="ADECC8CA">
      <w:start w:val="1"/>
      <w:numFmt w:val="bullet"/>
      <w:lvlText w:val=""/>
      <w:lvlJc w:val="left"/>
      <w:pPr>
        <w:ind w:left="2880" w:hanging="360"/>
      </w:pPr>
      <w:rPr>
        <w:rFonts w:ascii="Symbol" w:hAnsi="Symbol" w:hint="default"/>
      </w:rPr>
    </w:lvl>
    <w:lvl w:ilvl="4" w:tplc="633A01C6">
      <w:start w:val="1"/>
      <w:numFmt w:val="bullet"/>
      <w:lvlText w:val="o"/>
      <w:lvlJc w:val="left"/>
      <w:pPr>
        <w:ind w:left="3600" w:hanging="360"/>
      </w:pPr>
      <w:rPr>
        <w:rFonts w:ascii="Courier New" w:hAnsi="Courier New" w:cs="Courier New" w:hint="default"/>
      </w:rPr>
    </w:lvl>
    <w:lvl w:ilvl="5" w:tplc="555E66C2">
      <w:start w:val="1"/>
      <w:numFmt w:val="bullet"/>
      <w:lvlText w:val=""/>
      <w:lvlJc w:val="left"/>
      <w:pPr>
        <w:ind w:left="4320" w:hanging="360"/>
      </w:pPr>
      <w:rPr>
        <w:rFonts w:ascii="Wingdings" w:hAnsi="Wingdings" w:hint="default"/>
      </w:rPr>
    </w:lvl>
    <w:lvl w:ilvl="6" w:tplc="BC1C0688">
      <w:start w:val="1"/>
      <w:numFmt w:val="bullet"/>
      <w:lvlText w:val=""/>
      <w:lvlJc w:val="left"/>
      <w:pPr>
        <w:ind w:left="5040" w:hanging="360"/>
      </w:pPr>
      <w:rPr>
        <w:rFonts w:ascii="Symbol" w:hAnsi="Symbol" w:hint="default"/>
      </w:rPr>
    </w:lvl>
    <w:lvl w:ilvl="7" w:tplc="E5522086">
      <w:start w:val="1"/>
      <w:numFmt w:val="bullet"/>
      <w:lvlText w:val="o"/>
      <w:lvlJc w:val="left"/>
      <w:pPr>
        <w:ind w:left="5760" w:hanging="360"/>
      </w:pPr>
      <w:rPr>
        <w:rFonts w:ascii="Courier New" w:hAnsi="Courier New" w:cs="Courier New" w:hint="default"/>
      </w:rPr>
    </w:lvl>
    <w:lvl w:ilvl="8" w:tplc="FBF0AE58">
      <w:start w:val="1"/>
      <w:numFmt w:val="bullet"/>
      <w:lvlText w:val=""/>
      <w:lvlJc w:val="left"/>
      <w:pPr>
        <w:ind w:left="6480" w:hanging="360"/>
      </w:pPr>
      <w:rPr>
        <w:rFonts w:ascii="Wingdings" w:hAnsi="Wingdings" w:hint="default"/>
      </w:rPr>
    </w:lvl>
  </w:abstractNum>
  <w:abstractNum w:abstractNumId="17" w15:restartNumberingAfterBreak="0">
    <w:nsid w:val="62174690"/>
    <w:multiLevelType w:val="hybridMultilevel"/>
    <w:tmpl w:val="9134215C"/>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18"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1"/>
  </w:num>
  <w:num w:numId="2">
    <w:abstractNumId w:val="7"/>
  </w:num>
  <w:num w:numId="3">
    <w:abstractNumId w:val="3"/>
  </w:num>
  <w:num w:numId="4">
    <w:abstractNumId w:val="16"/>
  </w:num>
  <w:num w:numId="5">
    <w:abstractNumId w:val="14"/>
  </w:num>
  <w:num w:numId="6">
    <w:abstractNumId w:val="0"/>
  </w:num>
  <w:num w:numId="7">
    <w:abstractNumId w:val="8"/>
  </w:num>
  <w:num w:numId="8">
    <w:abstractNumId w:val="20"/>
  </w:num>
  <w:num w:numId="9">
    <w:abstractNumId w:val="19"/>
  </w:num>
  <w:num w:numId="10">
    <w:abstractNumId w:val="2"/>
  </w:num>
  <w:num w:numId="11">
    <w:abstractNumId w:val="21"/>
  </w:num>
  <w:num w:numId="12">
    <w:abstractNumId w:val="15"/>
  </w:num>
  <w:num w:numId="13">
    <w:abstractNumId w:val="24"/>
  </w:num>
  <w:num w:numId="14">
    <w:abstractNumId w:val="6"/>
  </w:num>
  <w:num w:numId="15">
    <w:abstractNumId w:val="12"/>
  </w:num>
  <w:num w:numId="16">
    <w:abstractNumId w:val="17"/>
  </w:num>
  <w:num w:numId="17">
    <w:abstractNumId w:val="23"/>
  </w:num>
  <w:num w:numId="18">
    <w:abstractNumId w:val="22"/>
  </w:num>
  <w:num w:numId="19">
    <w:abstractNumId w:val="5"/>
  </w:num>
  <w:num w:numId="20">
    <w:abstractNumId w:val="4"/>
  </w:num>
  <w:num w:numId="21">
    <w:abstractNumId w:val="18"/>
  </w:num>
  <w:num w:numId="22">
    <w:abstractNumId w:val="1"/>
  </w:num>
  <w:num w:numId="23">
    <w:abstractNumId w:val="10"/>
  </w:num>
  <w:num w:numId="24">
    <w:abstractNumId w:val="1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tbSwNLc0NzI2MDBT0lEKTi0uzszPAymwqAUAljmrwCwAAAA="/>
  </w:docVars>
  <w:rsids>
    <w:rsidRoot w:val="00282213"/>
    <w:rsid w:val="00000265"/>
    <w:rsid w:val="00004165"/>
    <w:rsid w:val="00017670"/>
    <w:rsid w:val="00020C56"/>
    <w:rsid w:val="00026ACC"/>
    <w:rsid w:val="0003171D"/>
    <w:rsid w:val="00031C1D"/>
    <w:rsid w:val="00032E8C"/>
    <w:rsid w:val="00035C50"/>
    <w:rsid w:val="00040144"/>
    <w:rsid w:val="00043D01"/>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37E9"/>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414"/>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29A"/>
    <w:rsid w:val="001A59CB"/>
    <w:rsid w:val="001C0E88"/>
    <w:rsid w:val="001C1409"/>
    <w:rsid w:val="001C2AE6"/>
    <w:rsid w:val="001C2F96"/>
    <w:rsid w:val="001C3F25"/>
    <w:rsid w:val="001C4A89"/>
    <w:rsid w:val="001C6177"/>
    <w:rsid w:val="001D0363"/>
    <w:rsid w:val="001D3558"/>
    <w:rsid w:val="001D3CEC"/>
    <w:rsid w:val="001D7D94"/>
    <w:rsid w:val="001E01EC"/>
    <w:rsid w:val="001E0A28"/>
    <w:rsid w:val="001E10B3"/>
    <w:rsid w:val="001E365C"/>
    <w:rsid w:val="001E4218"/>
    <w:rsid w:val="001E4444"/>
    <w:rsid w:val="001F0B20"/>
    <w:rsid w:val="00200A62"/>
    <w:rsid w:val="00203740"/>
    <w:rsid w:val="002138EA"/>
    <w:rsid w:val="00213F84"/>
    <w:rsid w:val="00214FBD"/>
    <w:rsid w:val="0021628A"/>
    <w:rsid w:val="002225DD"/>
    <w:rsid w:val="00222897"/>
    <w:rsid w:val="00222B0C"/>
    <w:rsid w:val="0023347F"/>
    <w:rsid w:val="00235394"/>
    <w:rsid w:val="00235577"/>
    <w:rsid w:val="002435CA"/>
    <w:rsid w:val="0024469F"/>
    <w:rsid w:val="00252DB8"/>
    <w:rsid w:val="002537BC"/>
    <w:rsid w:val="00255C58"/>
    <w:rsid w:val="00256E91"/>
    <w:rsid w:val="00260EC7"/>
    <w:rsid w:val="00261539"/>
    <w:rsid w:val="0026179F"/>
    <w:rsid w:val="00264984"/>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3E16"/>
    <w:rsid w:val="002A4CD0"/>
    <w:rsid w:val="002A7DA6"/>
    <w:rsid w:val="002B516C"/>
    <w:rsid w:val="002B5C6E"/>
    <w:rsid w:val="002B5D6C"/>
    <w:rsid w:val="002B5E1D"/>
    <w:rsid w:val="002B60C1"/>
    <w:rsid w:val="002B75A4"/>
    <w:rsid w:val="002C0040"/>
    <w:rsid w:val="002C0D0A"/>
    <w:rsid w:val="002C23F3"/>
    <w:rsid w:val="002C4B52"/>
    <w:rsid w:val="002D03E5"/>
    <w:rsid w:val="002D36EB"/>
    <w:rsid w:val="002D6BDF"/>
    <w:rsid w:val="002D6EDD"/>
    <w:rsid w:val="002E0CD4"/>
    <w:rsid w:val="002E2CE9"/>
    <w:rsid w:val="002E3BF7"/>
    <w:rsid w:val="002E403E"/>
    <w:rsid w:val="002F158C"/>
    <w:rsid w:val="002F2C22"/>
    <w:rsid w:val="002F4093"/>
    <w:rsid w:val="002F5636"/>
    <w:rsid w:val="002F6092"/>
    <w:rsid w:val="002F73BD"/>
    <w:rsid w:val="002F7647"/>
    <w:rsid w:val="00301ACB"/>
    <w:rsid w:val="003022A5"/>
    <w:rsid w:val="003023E8"/>
    <w:rsid w:val="00307E51"/>
    <w:rsid w:val="00311363"/>
    <w:rsid w:val="00312C81"/>
    <w:rsid w:val="00315867"/>
    <w:rsid w:val="00316348"/>
    <w:rsid w:val="00321150"/>
    <w:rsid w:val="003228A6"/>
    <w:rsid w:val="00322CE8"/>
    <w:rsid w:val="003251D3"/>
    <w:rsid w:val="003260D7"/>
    <w:rsid w:val="00326425"/>
    <w:rsid w:val="00336697"/>
    <w:rsid w:val="003418CB"/>
    <w:rsid w:val="00344713"/>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E66"/>
    <w:rsid w:val="00393042"/>
    <w:rsid w:val="00394AD5"/>
    <w:rsid w:val="0039642D"/>
    <w:rsid w:val="003A2E40"/>
    <w:rsid w:val="003A5F6A"/>
    <w:rsid w:val="003A6139"/>
    <w:rsid w:val="003B0158"/>
    <w:rsid w:val="003B2064"/>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2003"/>
    <w:rsid w:val="003E3D01"/>
    <w:rsid w:val="003E3E38"/>
    <w:rsid w:val="003E3F0F"/>
    <w:rsid w:val="003E40EE"/>
    <w:rsid w:val="003E501E"/>
    <w:rsid w:val="003E7AB0"/>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52C3"/>
    <w:rsid w:val="004D737D"/>
    <w:rsid w:val="004E2659"/>
    <w:rsid w:val="004E39EE"/>
    <w:rsid w:val="004E475C"/>
    <w:rsid w:val="004E5152"/>
    <w:rsid w:val="004E56E0"/>
    <w:rsid w:val="004E689C"/>
    <w:rsid w:val="004E7329"/>
    <w:rsid w:val="004F2CB0"/>
    <w:rsid w:val="004F31E9"/>
    <w:rsid w:val="004F613B"/>
    <w:rsid w:val="004F6342"/>
    <w:rsid w:val="005017F7"/>
    <w:rsid w:val="00501FA7"/>
    <w:rsid w:val="005034DC"/>
    <w:rsid w:val="00504688"/>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07CC"/>
    <w:rsid w:val="00553965"/>
    <w:rsid w:val="00554AA7"/>
    <w:rsid w:val="00562D5B"/>
    <w:rsid w:val="00564E25"/>
    <w:rsid w:val="005667EF"/>
    <w:rsid w:val="00570E7B"/>
    <w:rsid w:val="00571777"/>
    <w:rsid w:val="00574C59"/>
    <w:rsid w:val="00580FF5"/>
    <w:rsid w:val="0058348E"/>
    <w:rsid w:val="0058519C"/>
    <w:rsid w:val="00586242"/>
    <w:rsid w:val="005864D4"/>
    <w:rsid w:val="0059149A"/>
    <w:rsid w:val="005956EE"/>
    <w:rsid w:val="005A083E"/>
    <w:rsid w:val="005A0C62"/>
    <w:rsid w:val="005A5F53"/>
    <w:rsid w:val="005B0175"/>
    <w:rsid w:val="005B4802"/>
    <w:rsid w:val="005B51E8"/>
    <w:rsid w:val="005C1EA6"/>
    <w:rsid w:val="005C4399"/>
    <w:rsid w:val="005C5F6D"/>
    <w:rsid w:val="005D0A17"/>
    <w:rsid w:val="005D0B99"/>
    <w:rsid w:val="005D12FF"/>
    <w:rsid w:val="005D2345"/>
    <w:rsid w:val="005D308E"/>
    <w:rsid w:val="005D3A48"/>
    <w:rsid w:val="005D7AF8"/>
    <w:rsid w:val="005E366A"/>
    <w:rsid w:val="005E6457"/>
    <w:rsid w:val="005F0E3F"/>
    <w:rsid w:val="005F2145"/>
    <w:rsid w:val="005F7D66"/>
    <w:rsid w:val="0060013D"/>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41E1"/>
    <w:rsid w:val="00695D85"/>
    <w:rsid w:val="006A30A2"/>
    <w:rsid w:val="006A6D23"/>
    <w:rsid w:val="006B25DE"/>
    <w:rsid w:val="006B79DA"/>
    <w:rsid w:val="006C0629"/>
    <w:rsid w:val="006C1C3B"/>
    <w:rsid w:val="006C4279"/>
    <w:rsid w:val="006C44A6"/>
    <w:rsid w:val="006C4D59"/>
    <w:rsid w:val="006C4E43"/>
    <w:rsid w:val="006C643E"/>
    <w:rsid w:val="006C7CC1"/>
    <w:rsid w:val="006D27E4"/>
    <w:rsid w:val="006D2932"/>
    <w:rsid w:val="006D33EA"/>
    <w:rsid w:val="006D3671"/>
    <w:rsid w:val="006D6502"/>
    <w:rsid w:val="006E0A73"/>
    <w:rsid w:val="006E0FEE"/>
    <w:rsid w:val="006E6C11"/>
    <w:rsid w:val="006F08C9"/>
    <w:rsid w:val="006F0D55"/>
    <w:rsid w:val="006F644E"/>
    <w:rsid w:val="006F7C0C"/>
    <w:rsid w:val="00700755"/>
    <w:rsid w:val="00704963"/>
    <w:rsid w:val="00706034"/>
    <w:rsid w:val="0070646B"/>
    <w:rsid w:val="007107B7"/>
    <w:rsid w:val="007110AC"/>
    <w:rsid w:val="007130A2"/>
    <w:rsid w:val="00715463"/>
    <w:rsid w:val="00727016"/>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6121E"/>
    <w:rsid w:val="00761E6F"/>
    <w:rsid w:val="007641B0"/>
    <w:rsid w:val="007655D5"/>
    <w:rsid w:val="00771536"/>
    <w:rsid w:val="007763C1"/>
    <w:rsid w:val="00777E82"/>
    <w:rsid w:val="00781359"/>
    <w:rsid w:val="00781A52"/>
    <w:rsid w:val="0078318C"/>
    <w:rsid w:val="007835CE"/>
    <w:rsid w:val="00786921"/>
    <w:rsid w:val="00797996"/>
    <w:rsid w:val="00797DB9"/>
    <w:rsid w:val="007A1EAA"/>
    <w:rsid w:val="007A3B4E"/>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06C90"/>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488"/>
    <w:rsid w:val="00893987"/>
    <w:rsid w:val="008963EF"/>
    <w:rsid w:val="0089688E"/>
    <w:rsid w:val="00897C55"/>
    <w:rsid w:val="008A09A0"/>
    <w:rsid w:val="008A1FBE"/>
    <w:rsid w:val="008B3194"/>
    <w:rsid w:val="008B5AE7"/>
    <w:rsid w:val="008C0AED"/>
    <w:rsid w:val="008C247E"/>
    <w:rsid w:val="008C320D"/>
    <w:rsid w:val="008C406A"/>
    <w:rsid w:val="008C60E9"/>
    <w:rsid w:val="008D14AD"/>
    <w:rsid w:val="008D1B7C"/>
    <w:rsid w:val="008D5375"/>
    <w:rsid w:val="008D5738"/>
    <w:rsid w:val="008D6657"/>
    <w:rsid w:val="008E11C2"/>
    <w:rsid w:val="008E1F60"/>
    <w:rsid w:val="008E252E"/>
    <w:rsid w:val="008E307E"/>
    <w:rsid w:val="008E5EA2"/>
    <w:rsid w:val="008F4C46"/>
    <w:rsid w:val="008F4DD1"/>
    <w:rsid w:val="008F5CAB"/>
    <w:rsid w:val="008F6056"/>
    <w:rsid w:val="00902C07"/>
    <w:rsid w:val="00904574"/>
    <w:rsid w:val="00905804"/>
    <w:rsid w:val="009101E2"/>
    <w:rsid w:val="00913CCE"/>
    <w:rsid w:val="00915D73"/>
    <w:rsid w:val="00916077"/>
    <w:rsid w:val="009170A2"/>
    <w:rsid w:val="009208A6"/>
    <w:rsid w:val="00924514"/>
    <w:rsid w:val="00927316"/>
    <w:rsid w:val="0093276D"/>
    <w:rsid w:val="00933174"/>
    <w:rsid w:val="00933D12"/>
    <w:rsid w:val="00937065"/>
    <w:rsid w:val="00940285"/>
    <w:rsid w:val="009415B0"/>
    <w:rsid w:val="00941EF9"/>
    <w:rsid w:val="009476F2"/>
    <w:rsid w:val="00947E7E"/>
    <w:rsid w:val="0095139A"/>
    <w:rsid w:val="00953E16"/>
    <w:rsid w:val="009542AC"/>
    <w:rsid w:val="009569FE"/>
    <w:rsid w:val="009617F7"/>
    <w:rsid w:val="00961BB2"/>
    <w:rsid w:val="00961C38"/>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3DDA"/>
    <w:rsid w:val="009F4586"/>
    <w:rsid w:val="009F5607"/>
    <w:rsid w:val="00A0307E"/>
    <w:rsid w:val="00A0758F"/>
    <w:rsid w:val="00A1570A"/>
    <w:rsid w:val="00A211B4"/>
    <w:rsid w:val="00A215F9"/>
    <w:rsid w:val="00A22BD2"/>
    <w:rsid w:val="00A235FE"/>
    <w:rsid w:val="00A25961"/>
    <w:rsid w:val="00A33DDF"/>
    <w:rsid w:val="00A34547"/>
    <w:rsid w:val="00A35744"/>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172"/>
    <w:rsid w:val="00AC6D6B"/>
    <w:rsid w:val="00AD7713"/>
    <w:rsid w:val="00AD7736"/>
    <w:rsid w:val="00AD7D18"/>
    <w:rsid w:val="00AE003B"/>
    <w:rsid w:val="00AE10CE"/>
    <w:rsid w:val="00AE1F8D"/>
    <w:rsid w:val="00AE2CD0"/>
    <w:rsid w:val="00AE643D"/>
    <w:rsid w:val="00AE70D4"/>
    <w:rsid w:val="00AE7868"/>
    <w:rsid w:val="00AF0407"/>
    <w:rsid w:val="00AF092A"/>
    <w:rsid w:val="00AF2126"/>
    <w:rsid w:val="00AF4B16"/>
    <w:rsid w:val="00AF4D8B"/>
    <w:rsid w:val="00AF718B"/>
    <w:rsid w:val="00B0417A"/>
    <w:rsid w:val="00B067CA"/>
    <w:rsid w:val="00B12B26"/>
    <w:rsid w:val="00B15CB4"/>
    <w:rsid w:val="00B15ECC"/>
    <w:rsid w:val="00B163F8"/>
    <w:rsid w:val="00B2472D"/>
    <w:rsid w:val="00B24CA0"/>
    <w:rsid w:val="00B2549F"/>
    <w:rsid w:val="00B25F91"/>
    <w:rsid w:val="00B3075E"/>
    <w:rsid w:val="00B355B7"/>
    <w:rsid w:val="00B37611"/>
    <w:rsid w:val="00B4108D"/>
    <w:rsid w:val="00B4172D"/>
    <w:rsid w:val="00B42363"/>
    <w:rsid w:val="00B42FAF"/>
    <w:rsid w:val="00B5074F"/>
    <w:rsid w:val="00B53A40"/>
    <w:rsid w:val="00B57265"/>
    <w:rsid w:val="00B633AE"/>
    <w:rsid w:val="00B665D2"/>
    <w:rsid w:val="00B6737C"/>
    <w:rsid w:val="00B71A77"/>
    <w:rsid w:val="00B7214D"/>
    <w:rsid w:val="00B74372"/>
    <w:rsid w:val="00B75525"/>
    <w:rsid w:val="00B7667E"/>
    <w:rsid w:val="00B77B0C"/>
    <w:rsid w:val="00B80283"/>
    <w:rsid w:val="00B8095F"/>
    <w:rsid w:val="00B80B0C"/>
    <w:rsid w:val="00B80B11"/>
    <w:rsid w:val="00B8274C"/>
    <w:rsid w:val="00B831AE"/>
    <w:rsid w:val="00B833A3"/>
    <w:rsid w:val="00B8446C"/>
    <w:rsid w:val="00B87725"/>
    <w:rsid w:val="00B92A15"/>
    <w:rsid w:val="00B92CBA"/>
    <w:rsid w:val="00B93FA3"/>
    <w:rsid w:val="00BA084C"/>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1692"/>
    <w:rsid w:val="00BE33AE"/>
    <w:rsid w:val="00BE3E22"/>
    <w:rsid w:val="00BF046F"/>
    <w:rsid w:val="00BF0905"/>
    <w:rsid w:val="00BF344A"/>
    <w:rsid w:val="00C01D50"/>
    <w:rsid w:val="00C01E54"/>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66F60"/>
    <w:rsid w:val="00C71940"/>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2812"/>
    <w:rsid w:val="00D236F0"/>
    <w:rsid w:val="00D23F16"/>
    <w:rsid w:val="00D24E9B"/>
    <w:rsid w:val="00D26534"/>
    <w:rsid w:val="00D3188C"/>
    <w:rsid w:val="00D35F9B"/>
    <w:rsid w:val="00D36B69"/>
    <w:rsid w:val="00D408DD"/>
    <w:rsid w:val="00D41A82"/>
    <w:rsid w:val="00D45D72"/>
    <w:rsid w:val="00D50F47"/>
    <w:rsid w:val="00D520E4"/>
    <w:rsid w:val="00D538CC"/>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4490"/>
    <w:rsid w:val="00D9735F"/>
    <w:rsid w:val="00D97F0C"/>
    <w:rsid w:val="00DA3A86"/>
    <w:rsid w:val="00DA7FB9"/>
    <w:rsid w:val="00DB04C0"/>
    <w:rsid w:val="00DB3EE1"/>
    <w:rsid w:val="00DB76A9"/>
    <w:rsid w:val="00DC2500"/>
    <w:rsid w:val="00DC3363"/>
    <w:rsid w:val="00DC6F29"/>
    <w:rsid w:val="00DC711F"/>
    <w:rsid w:val="00DC77DC"/>
    <w:rsid w:val="00DD0453"/>
    <w:rsid w:val="00DD075C"/>
    <w:rsid w:val="00DD0C2C"/>
    <w:rsid w:val="00DD19DE"/>
    <w:rsid w:val="00DD2326"/>
    <w:rsid w:val="00DD28BC"/>
    <w:rsid w:val="00DD2970"/>
    <w:rsid w:val="00DD7C30"/>
    <w:rsid w:val="00DE16FC"/>
    <w:rsid w:val="00DE1AD5"/>
    <w:rsid w:val="00DE29D9"/>
    <w:rsid w:val="00DE31F0"/>
    <w:rsid w:val="00DE3D1C"/>
    <w:rsid w:val="00DE414A"/>
    <w:rsid w:val="00DE47BB"/>
    <w:rsid w:val="00DF05D1"/>
    <w:rsid w:val="00DF5CEC"/>
    <w:rsid w:val="00DF6D92"/>
    <w:rsid w:val="00E0227D"/>
    <w:rsid w:val="00E0290C"/>
    <w:rsid w:val="00E0461A"/>
    <w:rsid w:val="00E04B84"/>
    <w:rsid w:val="00E06466"/>
    <w:rsid w:val="00E06FDA"/>
    <w:rsid w:val="00E14D93"/>
    <w:rsid w:val="00E15F54"/>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34DA"/>
    <w:rsid w:val="00E65BC6"/>
    <w:rsid w:val="00E661FF"/>
    <w:rsid w:val="00E7184F"/>
    <w:rsid w:val="00E726EB"/>
    <w:rsid w:val="00E74969"/>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73DF"/>
    <w:rsid w:val="00EB56E9"/>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4B6"/>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5582"/>
    <w:rsid w:val="00F66C03"/>
    <w:rsid w:val="00F66E75"/>
    <w:rsid w:val="00F756FA"/>
    <w:rsid w:val="00F777A8"/>
    <w:rsid w:val="00F77EB0"/>
    <w:rsid w:val="00F84D8E"/>
    <w:rsid w:val="00F869AD"/>
    <w:rsid w:val="00F87CDD"/>
    <w:rsid w:val="00F91739"/>
    <w:rsid w:val="00F92465"/>
    <w:rsid w:val="00F933F0"/>
    <w:rsid w:val="00F937A3"/>
    <w:rsid w:val="00F94715"/>
    <w:rsid w:val="00F95E71"/>
    <w:rsid w:val="00F96A3D"/>
    <w:rsid w:val="00F96BD9"/>
    <w:rsid w:val="00F978DC"/>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F0664"/>
    <w:rsid w:val="00FF1FCB"/>
    <w:rsid w:val="00FF209E"/>
    <w:rsid w:val="00FF3A63"/>
    <w:rsid w:val="00FF52D4"/>
    <w:rsid w:val="00FF6AA4"/>
    <w:rsid w:val="00FF6B09"/>
    <w:rsid w:val="00FF7A10"/>
    <w:rsid w:val="04CBFFD2"/>
    <w:rsid w:val="089382BF"/>
    <w:rsid w:val="0B96675E"/>
    <w:rsid w:val="0CC84D49"/>
    <w:rsid w:val="100A8749"/>
    <w:rsid w:val="11103B98"/>
    <w:rsid w:val="187F1F12"/>
    <w:rsid w:val="18C7B6AF"/>
    <w:rsid w:val="1A6F5C95"/>
    <w:rsid w:val="1B3A4E09"/>
    <w:rsid w:val="1D0AE509"/>
    <w:rsid w:val="20B2EA5C"/>
    <w:rsid w:val="23E8781C"/>
    <w:rsid w:val="27BA77A6"/>
    <w:rsid w:val="31774A5C"/>
    <w:rsid w:val="3485F985"/>
    <w:rsid w:val="3C3097E8"/>
    <w:rsid w:val="3CB83DE8"/>
    <w:rsid w:val="3CE6630D"/>
    <w:rsid w:val="3D7D7D38"/>
    <w:rsid w:val="415B2836"/>
    <w:rsid w:val="47F97A64"/>
    <w:rsid w:val="4CABDA1F"/>
    <w:rsid w:val="5018EE13"/>
    <w:rsid w:val="52387C93"/>
    <w:rsid w:val="53EB1BD4"/>
    <w:rsid w:val="55CCD531"/>
    <w:rsid w:val="567567DF"/>
    <w:rsid w:val="58B0F71D"/>
    <w:rsid w:val="616F16C5"/>
    <w:rsid w:val="62E60B4E"/>
    <w:rsid w:val="6328BB6A"/>
    <w:rsid w:val="65CEA901"/>
    <w:rsid w:val="65E8B775"/>
    <w:rsid w:val="6C1E41F6"/>
    <w:rsid w:val="6C5C5384"/>
    <w:rsid w:val="6EB4082C"/>
    <w:rsid w:val="759B25AF"/>
    <w:rsid w:val="7D7DF55D"/>
    <w:rsid w:val="7EDF23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2D375BE0-8E05-4694-9E41-8B3E89A84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1,题注 Char1"/>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题注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styleId="BodyText2">
    <w:name w:val="Body Text 2"/>
    <w:basedOn w:val="Normal"/>
    <w:link w:val="BodyText2Char"/>
    <w:unhideWhenUsed/>
    <w:rsid w:val="00E74969"/>
    <w:pPr>
      <w:spacing w:after="120" w:line="480" w:lineRule="auto"/>
    </w:pPr>
  </w:style>
  <w:style w:type="character" w:customStyle="1" w:styleId="BodyText2Char">
    <w:name w:val="Body Text 2 Char"/>
    <w:basedOn w:val="DefaultParagraphFont"/>
    <w:link w:val="BodyText2"/>
    <w:rsid w:val="00E74969"/>
    <w:rPr>
      <w:lang w:val="en-GB" w:eastAsia="en-US"/>
    </w:rPr>
  </w:style>
  <w:style w:type="character" w:customStyle="1" w:styleId="normaltextrun">
    <w:name w:val="normaltextrun"/>
    <w:basedOn w:val="DefaultParagraphFont"/>
    <w:rsid w:val="00E74969"/>
  </w:style>
  <w:style w:type="character" w:customStyle="1" w:styleId="eop">
    <w:name w:val="eop"/>
    <w:basedOn w:val="DefaultParagraphFont"/>
    <w:rsid w:val="00E74969"/>
  </w:style>
  <w:style w:type="paragraph" w:styleId="Revision">
    <w:name w:val="Revision"/>
    <w:hidden/>
    <w:uiPriority w:val="99"/>
    <w:unhideWhenUsed/>
    <w:rsid w:val="00F96BD9"/>
    <w:rPr>
      <w:lang w:val="en-GB" w:eastAsia="en-US"/>
    </w:rPr>
  </w:style>
  <w:style w:type="numbering" w:customStyle="1" w:styleId="Nokia">
    <w:name w:val="Nokia"/>
    <w:uiPriority w:val="99"/>
    <w:rsid w:val="00B3075E"/>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7941">
      <w:bodyDiv w:val="1"/>
      <w:marLeft w:val="0"/>
      <w:marRight w:val="0"/>
      <w:marTop w:val="0"/>
      <w:marBottom w:val="0"/>
      <w:divBdr>
        <w:top w:val="none" w:sz="0" w:space="0" w:color="auto"/>
        <w:left w:val="none" w:sz="0" w:space="0" w:color="auto"/>
        <w:bottom w:val="none" w:sz="0" w:space="0" w:color="auto"/>
        <w:right w:val="none" w:sz="0" w:space="0" w:color="auto"/>
      </w:divBdr>
    </w:div>
    <w:div w:id="1253708660">
      <w:bodyDiv w:val="1"/>
      <w:marLeft w:val="0"/>
      <w:marRight w:val="0"/>
      <w:marTop w:val="0"/>
      <w:marBottom w:val="0"/>
      <w:divBdr>
        <w:top w:val="none" w:sz="0" w:space="0" w:color="auto"/>
        <w:left w:val="none" w:sz="0" w:space="0" w:color="auto"/>
        <w:bottom w:val="none" w:sz="0" w:space="0" w:color="auto"/>
        <w:right w:val="none" w:sz="0" w:space="0" w:color="auto"/>
      </w:divBdr>
      <w:divsChild>
        <w:div w:id="624652801">
          <w:marLeft w:val="547"/>
          <w:marRight w:val="0"/>
          <w:marTop w:val="106"/>
          <w:marBottom w:val="0"/>
          <w:divBdr>
            <w:top w:val="none" w:sz="0" w:space="0" w:color="auto"/>
            <w:left w:val="none" w:sz="0" w:space="0" w:color="auto"/>
            <w:bottom w:val="none" w:sz="0" w:space="0" w:color="auto"/>
            <w:right w:val="none" w:sz="0" w:space="0" w:color="auto"/>
          </w:divBdr>
        </w:div>
      </w:divsChild>
    </w:div>
    <w:div w:id="2132742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jpg"/><Relationship Id="rId26" Type="http://schemas.openxmlformats.org/officeDocument/2006/relationships/image" Target="media/image13.png"/><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image" Target="media/image7.png"/><Relationship Id="rId29" Type="http://schemas.openxmlformats.org/officeDocument/2006/relationships/image" Target="media/image16.png"/><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5AIRPNAIUNRU-1830940522-8887</_dlc_DocId>
    <_dlc_DocIdUrl xmlns="71c5aaf6-e6ce-465b-b873-5148d2a4c105">
      <Url>https://nokia.sharepoint.com/sites/c5g/5gradio/_layouts/15/DocIdRedir.aspx?ID=5AIRPNAIUNRU-1830940522-8887</Url>
      <Description>5AIRPNAIUNRU-1830940522-8887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SourceType>JournalArticle</b:SourceType>
    <b:Tag>Levine1989</b:Tag>
    <b:Title>A study of microstrip array antennas with the feed network</b:Title>
    <b:Year>1989</b:Year>
    <b:Author>
      <b:Author>
        <b:NameList>
          <b:Person>
            <b:Last>Levine</b:Last>
            <b:First>E.</b:First>
          </b:Person>
          <b:Person>
            <b:Last>Malamud</b:Last>
            <b:First>G.</b:First>
          </b:Person>
          <b:Person>
            <b:Last>Shtrikman</b:Last>
            <b:First>S.</b:First>
          </b:Person>
          <b:Person>
            <b:Last>Treves</b:Last>
            <b:First>David</b:First>
          </b:Person>
        </b:NameList>
      </b:Author>
    </b:Author>
    <b:Pages>426-434</b:Pages>
    <b:Volume>37</b:Volume>
    <b:StandardNumber> ISSN: 0018-926X DOI: 10.1109/8.24162</b:StandardNumber>
    <b:JournalName>Antennas and Propagation, IEEE Transactions on</b:JournalName>
    <b:Issue>4</b:Issue>
    <b:Month>Apr</b:Month>
    <b:BIBTEX_Abstract>The radiation and losses in microstrip antennas with a corporate feed network are studied. A surface current approach is applied in which the electrical currents in the feed lines are modeled as in ideal transmission lines. The free-space radiation and the surface-wave excitation of typical segments in printed feed networks are studied. A four-element array antenna with its printed feed network is analyzed and predicted radiation patterns, directivity, and gain are presented and compared with experimental results. The gain and directivity of large arrays of 16, 64, 256 and 1024 elements are calculated and measurements in the frequency range of 10 to 35 GHz are reported</b:BIBTEX_Abstract>
    <b:BIBTEX_KeyWords>antenna feeders;antenna radiation patterns;microstrip antennas;microwave antenna arrays;10 to 35 GHz;directivity;feed network;four-element array antenna;free-space radiation;gain;losses;microstrip array antennas;printed feed networks;radiation;radiation patterns;surface current approach;surface-wave excitation;Antenna feeds;Antenna radiation patterns;Current distribution;Dielectric losses;Dielectric substrates;Frequency;Microstrip antenna arrays;Microstrip antennas;Pattern analysis;Surface waves</b:BIBTEX_KeyWords>
    <b:RefOrder>58</b:RefOrder>
  </b:Source>
  <b:Source>
    <b:SourceType>ConferenceProceedings</b:SourceType>
    <b:BIBTEX_Entry>inproceedings</b:BIBTEX_Entry>
    <b:Tag>Lamminen2012</b:Tag>
    <b:Title>High gain 60 GHz LTCC chain antenna array with substrate integrated waveguide feed network</b:Title>
    <b:Year>2012</b:Year>
    <b:Author>
      <b:Author>
        <b:NameList>
          <b:Person>
            <b:Last>Lamminen</b:Last>
            <b:First>A.</b:First>
          </b:Person>
          <b:Person>
            <b:Last>Saily</b:Last>
            <b:First>J.</b:First>
          </b:Person>
        </b:NameList>
      </b:Author>
    </b:Author>
    <b:Pages>2569-2573</b:Pages>
    <b:StandardNumber> DOI: 10.1109/EuCAP.2012.6206530</b:StandardNumber>
    <b:BookTitle>Antennas and Propagation (EUCAP), 2012 6th European Conference on</b:BookTitle>
    <b:ConferenceName>Antennas and Propagation (EUCAP), 2012 6th European Conference on</b:ConferenceName>
    <b:Month>March</b:Month>
    <b:BIBTEX_Abstract>A design of a traveling wave chain antenna array operating at 60 GHz frequency band is presented in this paper. The antenna consists of several parallel microstrip chains printed on an LTCC substrate. The array feed network is constructed using substrate integrated waveguide (SIW) technology to minimise the transmission line losses. The presented design is scalable in frequency and in size, and a high antenna gain can be achieved with a large array. A test structure of size 27 mm × 22 mm × 1.1 mm is realised on Ferro A6-M LTCC. The antenna including the WR-15 to SIW transition has the measured maximum gain of 22 dBi at 62 GHz. The simulated maximum radiation efficiency of the antenna alone is 74%.</b:BIBTEX_Abstract>
    <b:BIBTEX_KeyWords>antenna arrays;ceramic packaging;millimetre wave antenna arrays;substrate integrated waveguides;Ferro A6-M LTCC;SIW technology;WR-15;frequency 60 GHz;frequency 62 GHz;high gain LTCC chain antenna array;parallel microstrip chain;radiation efficiency;substrate integrated waveguide feed network;transmission line losses;Antenna arrays;Antenna measurements;Arrays;Feeds;Gain</b:BIBTEX_KeyWords>
    <b:RefOrder>59</b:RefOrder>
  </b:Source>
</b:Sources>
</file>

<file path=customXml/itemProps1.xml><?xml version="1.0" encoding="utf-8"?>
<ds:datastoreItem xmlns:ds="http://schemas.openxmlformats.org/officeDocument/2006/customXml" ds:itemID="{2B212435-3C55-48FB-A791-B43C0E493839}">
  <ds:schemaRefs>
    <ds:schemaRef ds:uri="http://schemas.microsoft.com/sharepoint/events"/>
  </ds:schemaRefs>
</ds:datastoreItem>
</file>

<file path=customXml/itemProps2.xml><?xml version="1.0" encoding="utf-8"?>
<ds:datastoreItem xmlns:ds="http://schemas.openxmlformats.org/officeDocument/2006/customXml" ds:itemID="{2273DD37-8959-4068-8E0D-D37B86FC2B61}">
  <ds:schemaRefs>
    <ds:schemaRef ds:uri="Microsoft.SharePoint.Taxonomy.ContentTypeSync"/>
  </ds:schemaRefs>
</ds:datastoreItem>
</file>

<file path=customXml/itemProps3.xml><?xml version="1.0" encoding="utf-8"?>
<ds:datastoreItem xmlns:ds="http://schemas.openxmlformats.org/officeDocument/2006/customXml" ds:itemID="{7CA26774-45DB-47E5-ABC5-E1072AFE0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6.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44BB16D2-6DC5-4210-97BA-94DF7783A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1557</Words>
  <Characters>12620</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TL</cp:lastModifiedBy>
  <cp:revision>15</cp:revision>
  <cp:lastPrinted>2019-04-25T01:09:00Z</cp:lastPrinted>
  <dcterms:created xsi:type="dcterms:W3CDTF">2020-10-20T16:40:00Z</dcterms:created>
  <dcterms:modified xsi:type="dcterms:W3CDTF">2020-10-23T14:47:00Z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0x010100F72F5225BF40E546BD513D0BB4BDDD33</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_dlc_DocIdItemGuid">
    <vt:lpwstr>845a963b-8e26-43c4-9024-4da8a49caf06</vt:lpwstr>
  </property>
</Properties>
</file>